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50F7F3">
      <w:pPr>
        <w:jc w:val="center"/>
        <w:rPr>
          <w:rFonts w:hint="eastAsia" w:ascii="仿宋" w:hAnsi="仿宋" w:eastAsia="仿宋"/>
          <w:b/>
          <w:bCs/>
          <w:sz w:val="28"/>
          <w:szCs w:val="28"/>
        </w:rPr>
      </w:pPr>
      <w:r>
        <w:rPr>
          <w:rFonts w:hint="eastAsia" w:ascii="宋体" w:hAnsi="宋体" w:cs="宋体"/>
          <w:color w:val="333333"/>
          <w:sz w:val="36"/>
          <w:szCs w:val="36"/>
          <w:shd w:val="clear" w:color="auto" w:fill="FBFDFE"/>
        </w:rPr>
        <w:t>南京市溧水区人民医院门诊二楼药店</w:t>
      </w:r>
      <w:r>
        <w:rPr>
          <w:rFonts w:hint="eastAsia" w:ascii="宋体" w:hAnsi="宋体" w:cs="宋体"/>
          <w:color w:val="333333"/>
          <w:sz w:val="36"/>
          <w:szCs w:val="36"/>
          <w:shd w:val="clear" w:color="auto" w:fill="FBFDFE"/>
          <w:lang w:eastAsia="zh-CN"/>
        </w:rPr>
        <w:t>经营权转让</w:t>
      </w:r>
      <w:r>
        <w:rPr>
          <w:rFonts w:hint="eastAsia" w:ascii="宋体" w:hAnsi="宋体" w:cs="宋体"/>
          <w:color w:val="333333"/>
          <w:sz w:val="36"/>
          <w:szCs w:val="36"/>
          <w:shd w:val="clear" w:color="auto" w:fill="FBFDFE"/>
        </w:rPr>
        <w:t>方案</w:t>
      </w:r>
    </w:p>
    <w:p w14:paraId="5134A03E">
      <w:pPr>
        <w:jc w:val="center"/>
        <w:rPr>
          <w:rFonts w:hint="eastAsia" w:ascii="仿宋" w:hAnsi="仿宋" w:eastAsia="仿宋"/>
          <w:sz w:val="28"/>
          <w:szCs w:val="28"/>
        </w:rPr>
      </w:pPr>
    </w:p>
    <w:p w14:paraId="64BE8A72">
      <w:pPr>
        <w:ind w:firstLine="640" w:firstLineChars="200"/>
        <w:rPr>
          <w:rFonts w:hint="eastAsia" w:ascii="仿宋_GB2312" w:hAnsi="仿宋_GB2312" w:eastAsia="仿宋_GB2312" w:cs="仿宋_GB2312"/>
          <w:color w:val="333333"/>
          <w:sz w:val="32"/>
          <w:szCs w:val="32"/>
          <w:shd w:val="clear" w:color="auto" w:fill="FBFDFE"/>
        </w:rPr>
      </w:pPr>
      <w:r>
        <w:rPr>
          <w:rFonts w:hint="eastAsia" w:ascii="仿宋_GB2312" w:hAnsi="仿宋_GB2312" w:eastAsia="仿宋_GB2312" w:cs="仿宋_GB2312"/>
          <w:color w:val="333333"/>
          <w:sz w:val="32"/>
          <w:szCs w:val="32"/>
          <w:shd w:val="clear" w:color="auto" w:fill="FBFDFE"/>
        </w:rPr>
        <w:t>南京市溧水区人民医院现有位于溧水区永阳街道崇文路86号</w:t>
      </w:r>
      <w:r>
        <w:rPr>
          <w:rFonts w:hint="eastAsia" w:ascii="仿宋" w:hAnsi="仿宋" w:eastAsia="仿宋"/>
          <w:sz w:val="28"/>
          <w:szCs w:val="28"/>
        </w:rPr>
        <w:t>门诊二楼药店</w:t>
      </w:r>
      <w:r>
        <w:rPr>
          <w:rFonts w:hint="eastAsia" w:ascii="仿宋_GB2312" w:hAnsi="仿宋_GB2312" w:eastAsia="仿宋_GB2312" w:cs="仿宋_GB2312"/>
          <w:color w:val="333333"/>
          <w:sz w:val="32"/>
          <w:szCs w:val="32"/>
          <w:shd w:val="clear" w:color="auto" w:fill="FBFDFE"/>
        </w:rPr>
        <w:t>进行</w:t>
      </w:r>
      <w:r>
        <w:rPr>
          <w:rFonts w:hint="eastAsia" w:ascii="仿宋_GB2312" w:hAnsi="仿宋_GB2312" w:eastAsia="仿宋_GB2312" w:cs="仿宋_GB2312"/>
          <w:color w:val="333333"/>
          <w:sz w:val="32"/>
          <w:szCs w:val="32"/>
          <w:shd w:val="clear" w:color="auto" w:fill="FBFDFE"/>
          <w:lang w:eastAsia="zh-CN"/>
        </w:rPr>
        <w:t>经营权转让</w:t>
      </w:r>
      <w:r>
        <w:rPr>
          <w:rFonts w:hint="eastAsia" w:ascii="仿宋_GB2312" w:hAnsi="仿宋_GB2312" w:eastAsia="仿宋_GB2312" w:cs="仿宋_GB2312"/>
          <w:color w:val="333333"/>
          <w:sz w:val="32"/>
          <w:szCs w:val="32"/>
          <w:shd w:val="clear" w:color="auto" w:fill="FBFDFE"/>
        </w:rPr>
        <w:t>，本项目采用综合评审方式进行</w:t>
      </w:r>
      <w:r>
        <w:rPr>
          <w:rFonts w:hint="eastAsia" w:ascii="仿宋_GB2312" w:hAnsi="仿宋_GB2312" w:eastAsia="仿宋_GB2312" w:cs="仿宋_GB2312"/>
          <w:color w:val="333333"/>
          <w:sz w:val="32"/>
          <w:szCs w:val="32"/>
          <w:shd w:val="clear" w:color="auto" w:fill="FBFDFE"/>
          <w:lang w:eastAsia="zh-CN"/>
        </w:rPr>
        <w:t>转让</w:t>
      </w:r>
      <w:r>
        <w:rPr>
          <w:rFonts w:hint="eastAsia" w:ascii="仿宋_GB2312" w:hAnsi="仿宋_GB2312" w:eastAsia="仿宋_GB2312" w:cs="仿宋_GB2312"/>
          <w:color w:val="333333"/>
          <w:sz w:val="32"/>
          <w:szCs w:val="32"/>
          <w:shd w:val="clear" w:color="auto" w:fill="FBFDFE"/>
        </w:rPr>
        <w:t>。</w:t>
      </w:r>
    </w:p>
    <w:p w14:paraId="0709BDED">
      <w:pPr>
        <w:pStyle w:val="4"/>
        <w:shd w:val="clear" w:color="auto" w:fill="FBFDFE"/>
        <w:spacing w:line="360" w:lineRule="auto"/>
        <w:ind w:firstLine="643" w:firstLineChars="200"/>
        <w:rPr>
          <w:rFonts w:ascii="仿宋_GB2312" w:hAnsi="仿宋_GB2312" w:eastAsia="仿宋_GB2312" w:cs="仿宋_GB2312"/>
          <w:b/>
          <w:color w:val="333333"/>
          <w:sz w:val="32"/>
          <w:szCs w:val="32"/>
        </w:rPr>
      </w:pPr>
      <w:r>
        <w:rPr>
          <w:rFonts w:hint="eastAsia" w:ascii="仿宋_GB2312" w:hAnsi="仿宋_GB2312" w:eastAsia="仿宋_GB2312" w:cs="仿宋_GB2312"/>
          <w:b/>
          <w:color w:val="333333"/>
          <w:sz w:val="32"/>
          <w:szCs w:val="32"/>
          <w:shd w:val="clear" w:color="auto" w:fill="FBFDFE"/>
        </w:rPr>
        <w:t>一、</w:t>
      </w:r>
      <w:r>
        <w:rPr>
          <w:rFonts w:hint="eastAsia" w:ascii="仿宋_GB2312" w:hAnsi="仿宋_GB2312" w:eastAsia="仿宋_GB2312" w:cs="仿宋_GB2312"/>
          <w:b/>
          <w:color w:val="333333"/>
          <w:sz w:val="32"/>
          <w:szCs w:val="32"/>
          <w:shd w:val="clear" w:color="auto" w:fill="FBFDFE"/>
          <w:lang w:eastAsia="zh-CN"/>
        </w:rPr>
        <w:t>经营权转让</w:t>
      </w:r>
      <w:r>
        <w:rPr>
          <w:rFonts w:hint="eastAsia" w:ascii="仿宋_GB2312" w:hAnsi="仿宋_GB2312" w:eastAsia="仿宋_GB2312" w:cs="仿宋_GB2312"/>
          <w:b/>
          <w:color w:val="333333"/>
          <w:sz w:val="32"/>
          <w:szCs w:val="32"/>
          <w:shd w:val="clear" w:color="auto" w:fill="FBFDFE"/>
        </w:rPr>
        <w:t>项目位置、面积及用途：</w:t>
      </w:r>
    </w:p>
    <w:p w14:paraId="1955247D">
      <w:pPr>
        <w:pStyle w:val="4"/>
        <w:shd w:val="clear" w:color="auto" w:fill="FBFDFE"/>
        <w:spacing w:line="360" w:lineRule="auto"/>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BFDFE"/>
        </w:rPr>
        <w:t>1．标的物所在位置：南京市溧水区人民医院位于南京市溧水区永阳街道崇文路86号。</w:t>
      </w:r>
    </w:p>
    <w:p w14:paraId="029F6462">
      <w:pPr>
        <w:pStyle w:val="4"/>
        <w:shd w:val="clear" w:color="auto" w:fill="FBFDFE"/>
        <w:spacing w:line="360" w:lineRule="auto"/>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BFDFE"/>
        </w:rPr>
        <w:t>2．场地配置说明：</w:t>
      </w:r>
    </w:p>
    <w:p w14:paraId="490C90D9">
      <w:pPr>
        <w:pStyle w:val="4"/>
        <w:shd w:val="clear" w:color="auto" w:fill="FBFDFE"/>
        <w:spacing w:line="360" w:lineRule="auto"/>
        <w:ind w:firstLine="640" w:firstLineChars="200"/>
        <w:rPr>
          <w:rFonts w:ascii="仿宋_GB2312" w:hAnsi="仿宋_GB2312" w:eastAsia="仿宋_GB2312" w:cs="仿宋_GB2312"/>
          <w:color w:val="333333"/>
          <w:sz w:val="32"/>
          <w:szCs w:val="32"/>
          <w:shd w:val="clear" w:color="auto" w:fill="FBFDFE"/>
        </w:rPr>
      </w:pPr>
      <w:r>
        <w:rPr>
          <w:rFonts w:hint="eastAsia" w:ascii="仿宋_GB2312" w:hAnsi="仿宋_GB2312" w:eastAsia="仿宋_GB2312" w:cs="仿宋_GB2312"/>
          <w:color w:val="333333"/>
          <w:sz w:val="32"/>
          <w:szCs w:val="32"/>
          <w:shd w:val="clear" w:color="auto" w:fill="FBFDFE"/>
        </w:rPr>
        <w:t>药店位于</w:t>
      </w:r>
      <w:r>
        <w:rPr>
          <w:rFonts w:hint="eastAsia" w:ascii="仿宋" w:hAnsi="仿宋" w:eastAsia="仿宋"/>
          <w:sz w:val="28"/>
          <w:szCs w:val="28"/>
        </w:rPr>
        <w:t>南京市溧水区人民医院门诊二楼，面积110㎡，简装</w:t>
      </w:r>
      <w:r>
        <w:rPr>
          <w:rFonts w:hint="eastAsia" w:ascii="仿宋_GB2312" w:hAnsi="仿宋_GB2312" w:eastAsia="仿宋_GB2312" w:cs="仿宋_GB2312"/>
          <w:color w:val="333333"/>
          <w:sz w:val="32"/>
          <w:szCs w:val="32"/>
          <w:shd w:val="clear" w:color="auto" w:fill="FBFDFE"/>
        </w:rPr>
        <w:t>。</w:t>
      </w:r>
    </w:p>
    <w:p w14:paraId="7BD1D473">
      <w:pPr>
        <w:pStyle w:val="4"/>
        <w:numPr>
          <w:ilvl w:val="0"/>
          <w:numId w:val="1"/>
        </w:numPr>
        <w:shd w:val="clear" w:color="auto" w:fill="FBFDFE"/>
        <w:tabs>
          <w:tab w:val="left" w:pos="567"/>
        </w:tabs>
        <w:spacing w:line="360" w:lineRule="auto"/>
        <w:ind w:firstLine="640" w:firstLineChars="200"/>
        <w:rPr>
          <w:rFonts w:hint="eastAsia" w:ascii="仿宋_GB2312" w:hAnsi="仿宋_GB2312" w:eastAsia="仿宋_GB2312" w:cs="仿宋_GB2312"/>
          <w:color w:val="333333"/>
          <w:sz w:val="32"/>
          <w:szCs w:val="32"/>
          <w:shd w:val="clear" w:color="auto" w:fill="FBFDFE"/>
        </w:rPr>
      </w:pPr>
      <w:r>
        <w:rPr>
          <w:rFonts w:hint="eastAsia" w:ascii="仿宋_GB2312" w:hAnsi="仿宋_GB2312" w:eastAsia="仿宋_GB2312" w:cs="仿宋_GB2312"/>
          <w:color w:val="333333"/>
          <w:sz w:val="32"/>
          <w:szCs w:val="32"/>
          <w:shd w:val="clear" w:color="auto" w:fill="FBFDFE"/>
        </w:rPr>
        <w:t>使用用途：药店；</w:t>
      </w:r>
    </w:p>
    <w:p w14:paraId="13631AE9">
      <w:pPr>
        <w:pStyle w:val="4"/>
        <w:shd w:val="clear" w:color="auto" w:fill="FBFDFE"/>
        <w:spacing w:line="360" w:lineRule="auto"/>
        <w:ind w:firstLine="643" w:firstLineChars="200"/>
        <w:rPr>
          <w:rFonts w:ascii="仿宋_GB2312" w:hAnsi="仿宋_GB2312" w:eastAsia="仿宋_GB2312" w:cs="仿宋_GB2312"/>
          <w:b/>
          <w:color w:val="333333"/>
          <w:sz w:val="32"/>
          <w:szCs w:val="32"/>
          <w:shd w:val="clear" w:color="auto" w:fill="FBFDFE"/>
        </w:rPr>
      </w:pPr>
      <w:r>
        <w:rPr>
          <w:rFonts w:hint="eastAsia" w:ascii="仿宋_GB2312" w:hAnsi="仿宋_GB2312" w:eastAsia="仿宋_GB2312" w:cs="仿宋_GB2312"/>
          <w:b/>
          <w:color w:val="333333"/>
          <w:sz w:val="32"/>
          <w:szCs w:val="32"/>
          <w:shd w:val="clear" w:color="auto" w:fill="FBFDFE"/>
        </w:rPr>
        <w:t>二、</w:t>
      </w:r>
      <w:r>
        <w:rPr>
          <w:rFonts w:hint="eastAsia" w:ascii="仿宋_GB2312" w:hAnsi="仿宋_GB2312" w:eastAsia="仿宋_GB2312" w:cs="仿宋_GB2312"/>
          <w:b/>
          <w:color w:val="333333"/>
          <w:sz w:val="32"/>
          <w:szCs w:val="32"/>
          <w:shd w:val="clear" w:color="auto" w:fill="FBFDFE"/>
          <w:lang w:eastAsia="zh-CN"/>
        </w:rPr>
        <w:t>经营权转让</w:t>
      </w:r>
      <w:r>
        <w:rPr>
          <w:rFonts w:hint="eastAsia" w:ascii="仿宋_GB2312" w:hAnsi="仿宋_GB2312" w:eastAsia="仿宋_GB2312" w:cs="仿宋_GB2312"/>
          <w:b/>
          <w:color w:val="333333"/>
          <w:sz w:val="32"/>
          <w:szCs w:val="32"/>
          <w:shd w:val="clear" w:color="auto" w:fill="FBFDFE"/>
        </w:rPr>
        <w:t>期限：</w:t>
      </w:r>
    </w:p>
    <w:p w14:paraId="17DB08FD">
      <w:pPr>
        <w:pStyle w:val="2"/>
        <w:ind w:firstLine="640" w:firstLineChars="200"/>
        <w:rPr>
          <w:rFonts w:ascii="仿宋" w:hAnsi="仿宋" w:eastAsia="仿宋" w:cs="黑体"/>
          <w:sz w:val="28"/>
          <w:szCs w:val="28"/>
        </w:rPr>
      </w:pPr>
      <w:r>
        <w:rPr>
          <w:rFonts w:hint="eastAsia" w:ascii="仿宋_GB2312" w:hAnsi="仿宋_GB2312" w:eastAsia="仿宋_GB2312" w:cs="仿宋_GB2312"/>
          <w:color w:val="333333"/>
          <w:sz w:val="32"/>
          <w:szCs w:val="32"/>
          <w:shd w:val="clear" w:color="auto" w:fill="FBFDFE"/>
        </w:rPr>
        <w:t>1．</w:t>
      </w:r>
      <w:r>
        <w:rPr>
          <w:rFonts w:hint="eastAsia" w:ascii="仿宋_GB2312" w:hAnsi="仿宋_GB2312" w:eastAsia="仿宋_GB2312" w:cs="仿宋_GB2312"/>
          <w:color w:val="333333"/>
          <w:sz w:val="32"/>
          <w:szCs w:val="32"/>
          <w:shd w:val="clear" w:color="auto" w:fill="FBFDFE"/>
          <w:lang w:eastAsia="zh-CN"/>
        </w:rPr>
        <w:t>经营权转</w:t>
      </w:r>
      <w:r>
        <w:rPr>
          <w:rFonts w:hint="eastAsia" w:ascii="仿宋_GB2312" w:hAnsi="仿宋_GB2312" w:eastAsia="仿宋_GB2312" w:cs="仿宋_GB2312"/>
          <w:b w:val="0"/>
          <w:bCs/>
          <w:color w:val="333333"/>
          <w:sz w:val="32"/>
          <w:szCs w:val="32"/>
          <w:shd w:val="clear" w:color="auto" w:fill="FBFDFE"/>
          <w:lang w:eastAsia="zh-CN"/>
        </w:rPr>
        <w:t>让</w:t>
      </w:r>
      <w:r>
        <w:rPr>
          <w:rFonts w:hint="eastAsia" w:ascii="仿宋_GB2312" w:hAnsi="仿宋_GB2312" w:eastAsia="仿宋_GB2312" w:cs="仿宋_GB2312"/>
          <w:color w:val="333333"/>
          <w:sz w:val="32"/>
          <w:szCs w:val="32"/>
          <w:shd w:val="clear" w:color="auto" w:fill="FBFDFE"/>
        </w:rPr>
        <w:t>期：3年，合同一年一签，考核合格后签订下一年合同（考核细则详见附件1）。</w:t>
      </w:r>
    </w:p>
    <w:p w14:paraId="0D3EF6AB">
      <w:pPr>
        <w:ind w:firstLine="640" w:firstLineChars="200"/>
        <w:rPr>
          <w:rFonts w:hint="eastAsia" w:ascii="仿宋_GB2312" w:hAnsi="仿宋_GB2312" w:eastAsia="仿宋_GB2312" w:cs="仿宋_GB2312"/>
          <w:color w:val="333333"/>
          <w:sz w:val="32"/>
          <w:szCs w:val="32"/>
          <w:shd w:val="clear" w:color="auto" w:fill="FBFDFE"/>
        </w:rPr>
      </w:pPr>
      <w:r>
        <w:rPr>
          <w:rFonts w:hint="eastAsia" w:ascii="仿宋_GB2312" w:hAnsi="仿宋_GB2312" w:eastAsia="仿宋_GB2312" w:cs="仿宋_GB2312"/>
          <w:color w:val="333333"/>
          <w:sz w:val="32"/>
          <w:szCs w:val="32"/>
          <w:shd w:val="clear" w:color="auto" w:fill="FBFDFE"/>
        </w:rPr>
        <w:t>2．</w:t>
      </w:r>
      <w:r>
        <w:rPr>
          <w:rFonts w:hint="eastAsia" w:ascii="仿宋_GB2312" w:hAnsi="仿宋_GB2312" w:eastAsia="仿宋_GB2312" w:cs="仿宋_GB2312"/>
          <w:color w:val="333333"/>
          <w:sz w:val="32"/>
          <w:szCs w:val="32"/>
          <w:shd w:val="clear" w:color="auto" w:fill="FBFDFE"/>
          <w:lang w:eastAsia="zh-CN"/>
        </w:rPr>
        <w:t>转让</w:t>
      </w:r>
      <w:r>
        <w:rPr>
          <w:rFonts w:hint="eastAsia" w:ascii="仿宋_GB2312" w:hAnsi="仿宋_GB2312" w:eastAsia="仿宋_GB2312" w:cs="仿宋_GB2312"/>
          <w:color w:val="333333"/>
          <w:sz w:val="32"/>
          <w:szCs w:val="32"/>
          <w:shd w:val="clear" w:color="auto" w:fill="FBFDFE"/>
        </w:rPr>
        <w:t>金支付方式：先付费后使用，在被确人为受让方后五个工作日内签署转让合同以及一次性支付当年</w:t>
      </w:r>
      <w:r>
        <w:rPr>
          <w:rFonts w:hint="eastAsia" w:ascii="仿宋_GB2312" w:hAnsi="仿宋_GB2312" w:eastAsia="仿宋_GB2312" w:cs="仿宋_GB2312"/>
          <w:color w:val="333333"/>
          <w:sz w:val="32"/>
          <w:szCs w:val="32"/>
          <w:shd w:val="clear" w:color="auto" w:fill="FBFDFE"/>
          <w:lang w:eastAsia="zh-CN"/>
        </w:rPr>
        <w:t>转让</w:t>
      </w:r>
      <w:r>
        <w:rPr>
          <w:rFonts w:hint="eastAsia" w:ascii="仿宋_GB2312" w:hAnsi="仿宋_GB2312" w:eastAsia="仿宋_GB2312" w:cs="仿宋_GB2312"/>
          <w:color w:val="333333"/>
          <w:sz w:val="32"/>
          <w:szCs w:val="32"/>
          <w:shd w:val="clear" w:color="auto" w:fill="FBFDFE"/>
        </w:rPr>
        <w:t>金，</w:t>
      </w:r>
      <w:r>
        <w:rPr>
          <w:rFonts w:hint="eastAsia" w:ascii="仿宋_GB2312" w:hAnsi="仿宋_GB2312" w:eastAsia="仿宋_GB2312" w:cs="仿宋_GB2312"/>
          <w:color w:val="333333"/>
          <w:sz w:val="32"/>
          <w:szCs w:val="32"/>
          <w:shd w:val="clear" w:color="auto" w:fill="FBFDFE"/>
          <w:lang w:eastAsia="zh-CN"/>
        </w:rPr>
        <w:t>履约保证</w:t>
      </w:r>
      <w:r>
        <w:rPr>
          <w:rFonts w:hint="eastAsia" w:ascii="仿宋_GB2312" w:hAnsi="仿宋_GB2312" w:eastAsia="仿宋_GB2312" w:cs="仿宋_GB2312"/>
          <w:color w:val="333333"/>
          <w:sz w:val="32"/>
          <w:szCs w:val="32"/>
          <w:shd w:val="clear" w:color="auto" w:fill="FBFDFE"/>
        </w:rPr>
        <w:t>金以及其他所需费用。此后每年的</w:t>
      </w:r>
      <w:r>
        <w:rPr>
          <w:rFonts w:hint="eastAsia" w:ascii="仿宋_GB2312" w:hAnsi="仿宋_GB2312" w:eastAsia="仿宋_GB2312" w:cs="仿宋_GB2312"/>
          <w:color w:val="333333"/>
          <w:sz w:val="32"/>
          <w:szCs w:val="32"/>
          <w:shd w:val="clear" w:color="auto" w:fill="FBFDFE"/>
          <w:lang w:eastAsia="zh-CN"/>
        </w:rPr>
        <w:t>转让</w:t>
      </w:r>
      <w:r>
        <w:rPr>
          <w:rFonts w:hint="eastAsia" w:ascii="仿宋_GB2312" w:hAnsi="仿宋_GB2312" w:eastAsia="仿宋_GB2312" w:cs="仿宋_GB2312"/>
          <w:color w:val="333333"/>
          <w:sz w:val="32"/>
          <w:szCs w:val="32"/>
          <w:shd w:val="clear" w:color="auto" w:fill="FBFDFE"/>
        </w:rPr>
        <w:t>金应分别于每年的</w:t>
      </w:r>
      <w:r>
        <w:rPr>
          <w:rFonts w:hint="eastAsia" w:ascii="仿宋_GB2312" w:hAnsi="仿宋_GB2312" w:eastAsia="仿宋_GB2312" w:cs="仿宋_GB2312"/>
          <w:color w:val="333333"/>
          <w:sz w:val="32"/>
          <w:szCs w:val="32"/>
          <w:shd w:val="clear" w:color="auto" w:fill="FBFDFE"/>
          <w:lang w:val="en-US" w:eastAsia="zh-CN"/>
        </w:rPr>
        <w:t>1</w:t>
      </w:r>
      <w:r>
        <w:rPr>
          <w:rFonts w:hint="eastAsia" w:ascii="仿宋_GB2312" w:hAnsi="仿宋_GB2312" w:eastAsia="仿宋_GB2312" w:cs="仿宋_GB2312"/>
          <w:color w:val="333333"/>
          <w:sz w:val="32"/>
          <w:szCs w:val="32"/>
          <w:shd w:val="clear" w:color="auto" w:fill="FBFDFE"/>
        </w:rPr>
        <w:t>1月1日前一次性付清，先付后</w:t>
      </w:r>
      <w:r>
        <w:rPr>
          <w:rFonts w:hint="eastAsia" w:ascii="仿宋_GB2312" w:hAnsi="仿宋_GB2312" w:eastAsia="仿宋_GB2312" w:cs="仿宋_GB2312"/>
          <w:color w:val="333333"/>
          <w:sz w:val="32"/>
          <w:szCs w:val="32"/>
          <w:shd w:val="clear" w:color="auto" w:fill="FBFDFE"/>
          <w:lang w:eastAsia="zh-CN"/>
        </w:rPr>
        <w:t>用</w:t>
      </w:r>
      <w:r>
        <w:rPr>
          <w:rFonts w:hint="eastAsia" w:ascii="仿宋_GB2312" w:hAnsi="仿宋_GB2312" w:eastAsia="仿宋_GB2312" w:cs="仿宋_GB2312"/>
          <w:color w:val="333333"/>
          <w:sz w:val="32"/>
          <w:szCs w:val="32"/>
          <w:shd w:val="clear" w:color="auto" w:fill="FBFDFE"/>
        </w:rPr>
        <w:t>。</w:t>
      </w:r>
    </w:p>
    <w:p w14:paraId="7DB07B43">
      <w:pPr>
        <w:pStyle w:val="4"/>
        <w:shd w:val="clear" w:color="auto" w:fill="FBFDFE"/>
        <w:spacing w:line="360" w:lineRule="auto"/>
        <w:ind w:firstLine="640" w:firstLineChars="200"/>
        <w:rPr>
          <w:rFonts w:hint="eastAsia" w:ascii="仿宋_GB2312" w:hAnsi="仿宋_GB2312" w:eastAsia="仿宋_GB2312" w:cs="仿宋_GB2312"/>
          <w:color w:val="333333"/>
          <w:sz w:val="32"/>
          <w:szCs w:val="32"/>
          <w:shd w:val="clear" w:color="auto" w:fill="FBFDFE"/>
        </w:rPr>
      </w:pPr>
      <w:r>
        <w:rPr>
          <w:rFonts w:hint="eastAsia" w:ascii="仿宋_GB2312" w:hAnsi="仿宋_GB2312" w:eastAsia="仿宋_GB2312" w:cs="仿宋_GB2312"/>
          <w:color w:val="333333"/>
          <w:sz w:val="32"/>
          <w:szCs w:val="32"/>
          <w:shd w:val="clear" w:color="auto" w:fill="FBFDFE"/>
        </w:rPr>
        <w:t>3．门诊二楼药店</w:t>
      </w:r>
      <w:r>
        <w:rPr>
          <w:rFonts w:hint="eastAsia" w:ascii="仿宋_GB2312" w:hAnsi="仿宋_GB2312" w:eastAsia="仿宋_GB2312" w:cs="仿宋_GB2312"/>
          <w:color w:val="333333"/>
          <w:sz w:val="32"/>
          <w:szCs w:val="32"/>
          <w:shd w:val="clear" w:color="auto" w:fill="FBFDFE"/>
          <w:lang w:eastAsia="zh-CN"/>
        </w:rPr>
        <w:t>经营权转让</w:t>
      </w:r>
      <w:r>
        <w:rPr>
          <w:rFonts w:hint="eastAsia" w:ascii="仿宋_GB2312" w:hAnsi="仿宋_GB2312" w:eastAsia="仿宋_GB2312" w:cs="仿宋_GB2312"/>
          <w:color w:val="333333"/>
          <w:sz w:val="32"/>
          <w:szCs w:val="32"/>
          <w:shd w:val="clear" w:color="auto" w:fill="FBFDFE"/>
        </w:rPr>
        <w:t>金</w:t>
      </w:r>
      <w:r>
        <w:rPr>
          <w:rFonts w:hint="eastAsia" w:ascii="仿宋_GB2312" w:hAnsi="仿宋_GB2312" w:eastAsia="仿宋_GB2312" w:cs="仿宋_GB2312"/>
          <w:color w:val="333333"/>
          <w:sz w:val="32"/>
          <w:szCs w:val="32"/>
          <w:shd w:val="clear" w:color="auto" w:fill="FBFDFE"/>
          <w:lang w:eastAsia="zh-CN"/>
        </w:rPr>
        <w:t>底价</w:t>
      </w:r>
      <w:r>
        <w:rPr>
          <w:rFonts w:hint="eastAsia" w:ascii="仿宋_GB2312" w:hAnsi="仿宋_GB2312" w:eastAsia="仿宋_GB2312" w:cs="仿宋_GB2312"/>
          <w:color w:val="333333"/>
          <w:sz w:val="32"/>
          <w:szCs w:val="32"/>
          <w:shd w:val="clear" w:color="auto" w:fill="FBFDFE"/>
        </w:rPr>
        <w:t>：70万元/年。</w:t>
      </w:r>
    </w:p>
    <w:p w14:paraId="7025E27C">
      <w:pPr>
        <w:pStyle w:val="4"/>
        <w:shd w:val="clear" w:color="auto" w:fill="FBFDFE"/>
        <w:spacing w:line="360" w:lineRule="auto"/>
        <w:ind w:firstLine="640" w:firstLineChars="200"/>
        <w:rPr>
          <w:rFonts w:hint="eastAsia" w:ascii="仿宋_GB2312" w:hAnsi="仿宋_GB2312" w:eastAsia="仿宋_GB2312" w:cs="仿宋_GB2312"/>
          <w:color w:val="333333"/>
          <w:sz w:val="32"/>
          <w:szCs w:val="32"/>
          <w:shd w:val="clear" w:color="auto" w:fill="FBFDFE"/>
        </w:rPr>
      </w:pPr>
      <w:r>
        <w:rPr>
          <w:rFonts w:hint="eastAsia" w:ascii="仿宋_GB2312" w:hAnsi="仿宋_GB2312" w:eastAsia="仿宋_GB2312" w:cs="仿宋_GB2312"/>
          <w:color w:val="333333"/>
          <w:sz w:val="32"/>
          <w:szCs w:val="32"/>
          <w:shd w:val="clear" w:color="auto" w:fill="FBFDFE"/>
        </w:rPr>
        <w:t>4．履约保证金：21万元，在合同期满且无违约的情况下无息退还。</w:t>
      </w:r>
    </w:p>
    <w:p w14:paraId="5E738B15">
      <w:pPr>
        <w:pStyle w:val="4"/>
        <w:shd w:val="clear" w:color="auto" w:fill="FBFDFE"/>
        <w:spacing w:line="360" w:lineRule="auto"/>
        <w:ind w:firstLine="643" w:firstLineChars="200"/>
        <w:rPr>
          <w:rFonts w:ascii="仿宋_GB2312" w:hAnsi="仿宋_GB2312" w:eastAsia="仿宋_GB2312" w:cs="仿宋_GB2312"/>
          <w:b/>
          <w:color w:val="333333"/>
          <w:sz w:val="32"/>
          <w:szCs w:val="32"/>
          <w:shd w:val="clear" w:color="auto" w:fill="FBFDFE"/>
        </w:rPr>
      </w:pPr>
      <w:r>
        <w:rPr>
          <w:rFonts w:hint="eastAsia" w:ascii="仿宋_GB2312" w:hAnsi="仿宋_GB2312" w:eastAsia="仿宋_GB2312" w:cs="仿宋_GB2312"/>
          <w:b/>
          <w:color w:val="333333"/>
          <w:sz w:val="32"/>
          <w:szCs w:val="32"/>
          <w:shd w:val="clear" w:color="auto" w:fill="FBFDFE"/>
        </w:rPr>
        <w:t>三、报名</w:t>
      </w:r>
      <w:r>
        <w:rPr>
          <w:rFonts w:hint="eastAsia" w:ascii="仿宋_GB2312" w:hAnsi="仿宋_GB2312" w:eastAsia="仿宋_GB2312" w:cs="仿宋_GB2312"/>
          <w:b/>
          <w:color w:val="333333"/>
          <w:sz w:val="32"/>
          <w:szCs w:val="32"/>
          <w:shd w:val="clear" w:color="auto" w:fill="FBFDFE"/>
          <w:lang w:eastAsia="zh-CN"/>
        </w:rPr>
        <w:t>信誉</w:t>
      </w:r>
      <w:r>
        <w:rPr>
          <w:rFonts w:hint="eastAsia" w:ascii="仿宋_GB2312" w:hAnsi="仿宋_GB2312" w:eastAsia="仿宋_GB2312" w:cs="仿宋_GB2312"/>
          <w:b/>
          <w:color w:val="333333"/>
          <w:sz w:val="32"/>
          <w:szCs w:val="32"/>
          <w:shd w:val="clear" w:color="auto" w:fill="FBFDFE"/>
        </w:rPr>
        <w:t>保证金：</w:t>
      </w:r>
    </w:p>
    <w:p w14:paraId="0D713302">
      <w:pPr>
        <w:pStyle w:val="4"/>
        <w:shd w:val="clear" w:color="auto" w:fill="FBFDFE"/>
        <w:spacing w:line="360" w:lineRule="auto"/>
        <w:ind w:firstLine="640" w:firstLineChars="200"/>
        <w:rPr>
          <w:rFonts w:ascii="仿宋_GB2312" w:hAnsi="仿宋_GB2312" w:eastAsia="仿宋_GB2312" w:cs="仿宋_GB2312"/>
          <w:color w:val="333333"/>
          <w:sz w:val="32"/>
          <w:szCs w:val="32"/>
          <w:shd w:val="clear" w:color="auto" w:fill="FBFDFE"/>
        </w:rPr>
      </w:pPr>
      <w:r>
        <w:rPr>
          <w:rFonts w:hint="eastAsia" w:ascii="仿宋_GB2312" w:hAnsi="仿宋_GB2312" w:eastAsia="仿宋_GB2312" w:cs="仿宋_GB2312"/>
          <w:color w:val="333333"/>
          <w:sz w:val="32"/>
          <w:szCs w:val="32"/>
          <w:shd w:val="clear" w:color="auto" w:fill="FBFDFE"/>
        </w:rPr>
        <w:t>1．报名</w:t>
      </w:r>
      <w:r>
        <w:rPr>
          <w:rFonts w:hint="eastAsia" w:ascii="仿宋_GB2312" w:hAnsi="仿宋_GB2312" w:eastAsia="仿宋_GB2312" w:cs="仿宋_GB2312"/>
          <w:color w:val="333333"/>
          <w:sz w:val="32"/>
          <w:szCs w:val="32"/>
          <w:shd w:val="clear" w:color="auto" w:fill="FBFDFE"/>
          <w:lang w:eastAsia="zh-CN"/>
        </w:rPr>
        <w:t>信誉</w:t>
      </w:r>
      <w:r>
        <w:rPr>
          <w:rFonts w:hint="eastAsia" w:ascii="仿宋_GB2312" w:hAnsi="仿宋_GB2312" w:eastAsia="仿宋_GB2312" w:cs="仿宋_GB2312"/>
          <w:color w:val="333333"/>
          <w:sz w:val="32"/>
          <w:szCs w:val="32"/>
          <w:shd w:val="clear" w:color="auto" w:fill="FBFDFE"/>
        </w:rPr>
        <w:t>保证金数额：意向受让方需缴纳报名信誉保证金21万元。</w:t>
      </w:r>
    </w:p>
    <w:p w14:paraId="0AA17829">
      <w:pPr>
        <w:pStyle w:val="4"/>
        <w:shd w:val="clear" w:color="auto" w:fill="FBFDFE"/>
        <w:spacing w:line="360" w:lineRule="auto"/>
        <w:ind w:firstLine="640" w:firstLineChars="200"/>
        <w:rPr>
          <w:rFonts w:ascii="仿宋_GB2312" w:hAnsi="仿宋_GB2312" w:eastAsia="仿宋_GB2312" w:cs="仿宋_GB2312"/>
          <w:color w:val="333333"/>
          <w:sz w:val="32"/>
          <w:szCs w:val="32"/>
          <w:shd w:val="clear" w:color="auto" w:fill="FBFDFE"/>
        </w:rPr>
      </w:pPr>
      <w:r>
        <w:rPr>
          <w:rFonts w:hint="eastAsia" w:ascii="仿宋_GB2312" w:hAnsi="仿宋_GB2312" w:eastAsia="仿宋_GB2312" w:cs="仿宋_GB2312"/>
          <w:color w:val="333333"/>
          <w:sz w:val="32"/>
          <w:szCs w:val="32"/>
          <w:shd w:val="clear" w:color="auto" w:fill="FBFDFE"/>
        </w:rPr>
        <w:t>2．缴纳截止日期：经南京溧水区国有资产资源交易中心审查通过后，在挂牌截止日期次日上午十一点前交至指定账户（以到达账户时间为准，遇法定节假日顺延）逾期将不得参与</w:t>
      </w:r>
      <w:r>
        <w:rPr>
          <w:rFonts w:hint="eastAsia" w:ascii="仿宋_GB2312" w:hAnsi="仿宋_GB2312" w:eastAsia="仿宋_GB2312" w:cs="仿宋_GB2312"/>
          <w:color w:val="333333"/>
          <w:sz w:val="32"/>
          <w:szCs w:val="32"/>
          <w:shd w:val="clear" w:color="auto" w:fill="FBFDFE"/>
          <w:lang w:eastAsia="zh-CN"/>
        </w:rPr>
        <w:t>受让</w:t>
      </w:r>
      <w:r>
        <w:rPr>
          <w:rFonts w:hint="eastAsia" w:ascii="仿宋_GB2312" w:hAnsi="仿宋_GB2312" w:eastAsia="仿宋_GB2312" w:cs="仿宋_GB2312"/>
          <w:color w:val="333333"/>
          <w:sz w:val="32"/>
          <w:szCs w:val="32"/>
          <w:shd w:val="clear" w:color="auto" w:fill="FBFDFE"/>
        </w:rPr>
        <w:t>。</w:t>
      </w:r>
    </w:p>
    <w:p w14:paraId="6861199F">
      <w:pPr>
        <w:pStyle w:val="4"/>
        <w:shd w:val="clear" w:color="auto" w:fill="FBFDFE"/>
        <w:spacing w:line="360" w:lineRule="auto"/>
        <w:ind w:firstLine="640" w:firstLineChars="200"/>
        <w:rPr>
          <w:rFonts w:ascii="仿宋_GB2312" w:hAnsi="仿宋_GB2312" w:eastAsia="仿宋_GB2312" w:cs="仿宋_GB2312"/>
          <w:color w:val="333333"/>
          <w:sz w:val="32"/>
          <w:szCs w:val="32"/>
          <w:shd w:val="clear" w:color="auto" w:fill="FBFDFE"/>
        </w:rPr>
      </w:pPr>
      <w:r>
        <w:rPr>
          <w:rFonts w:hint="eastAsia" w:ascii="仿宋_GB2312" w:hAnsi="仿宋_GB2312" w:eastAsia="仿宋_GB2312" w:cs="仿宋_GB2312"/>
          <w:color w:val="333333"/>
          <w:sz w:val="32"/>
          <w:szCs w:val="32"/>
          <w:shd w:val="clear" w:color="auto" w:fill="FBFDFE"/>
        </w:rPr>
        <w:t>3．报名</w:t>
      </w:r>
      <w:r>
        <w:rPr>
          <w:rFonts w:hint="eastAsia" w:ascii="仿宋_GB2312" w:hAnsi="仿宋_GB2312" w:eastAsia="仿宋_GB2312" w:cs="仿宋_GB2312"/>
          <w:color w:val="333333"/>
          <w:sz w:val="32"/>
          <w:szCs w:val="32"/>
          <w:shd w:val="clear" w:color="auto" w:fill="FBFDFE"/>
          <w:lang w:eastAsia="zh-CN"/>
        </w:rPr>
        <w:t>信誉</w:t>
      </w:r>
      <w:r>
        <w:rPr>
          <w:rFonts w:hint="eastAsia" w:ascii="仿宋_GB2312" w:hAnsi="仿宋_GB2312" w:eastAsia="仿宋_GB2312" w:cs="仿宋_GB2312"/>
          <w:color w:val="333333"/>
          <w:sz w:val="32"/>
          <w:szCs w:val="32"/>
          <w:shd w:val="clear" w:color="auto" w:fill="FBFDFE"/>
        </w:rPr>
        <w:t>保证金的处置：</w:t>
      </w:r>
    </w:p>
    <w:p w14:paraId="6C117632">
      <w:pPr>
        <w:pStyle w:val="4"/>
        <w:shd w:val="clear" w:color="auto" w:fill="FBFDFE"/>
        <w:spacing w:line="360" w:lineRule="auto"/>
        <w:ind w:firstLine="640" w:firstLineChars="200"/>
        <w:rPr>
          <w:rFonts w:ascii="仿宋_GB2312" w:hAnsi="仿宋_GB2312" w:eastAsia="仿宋_GB2312" w:cs="仿宋_GB2312"/>
          <w:color w:val="333333"/>
          <w:sz w:val="32"/>
          <w:szCs w:val="32"/>
          <w:shd w:val="clear" w:color="auto" w:fill="FBFDFE"/>
        </w:rPr>
      </w:pPr>
      <w:r>
        <w:rPr>
          <w:rFonts w:hint="eastAsia" w:ascii="仿宋_GB2312" w:hAnsi="仿宋_GB2312" w:eastAsia="仿宋_GB2312" w:cs="仿宋_GB2312"/>
          <w:color w:val="333333"/>
          <w:sz w:val="32"/>
          <w:szCs w:val="32"/>
          <w:shd w:val="clear" w:color="auto" w:fill="FBFDFE"/>
        </w:rPr>
        <w:t>(1)意向受让方如被确定为受让方，在签约时经招租单位确认后，其缴纳的信誉保证金本金转为履约保证金；</w:t>
      </w:r>
    </w:p>
    <w:p w14:paraId="188B24D5">
      <w:pPr>
        <w:pStyle w:val="4"/>
        <w:shd w:val="clear" w:color="auto" w:fill="FBFDFE"/>
        <w:spacing w:line="360" w:lineRule="auto"/>
        <w:ind w:firstLine="640" w:firstLineChars="200"/>
        <w:rPr>
          <w:rFonts w:ascii="仿宋_GB2312" w:hAnsi="仿宋_GB2312" w:eastAsia="仿宋_GB2312" w:cs="仿宋_GB2312"/>
          <w:color w:val="333333"/>
          <w:sz w:val="32"/>
          <w:szCs w:val="32"/>
          <w:shd w:val="clear" w:color="auto" w:fill="FBFDFE"/>
        </w:rPr>
      </w:pPr>
      <w:r>
        <w:rPr>
          <w:rFonts w:hint="eastAsia" w:ascii="仿宋_GB2312" w:hAnsi="仿宋_GB2312" w:eastAsia="仿宋_GB2312" w:cs="仿宋_GB2312"/>
          <w:color w:val="333333"/>
          <w:sz w:val="32"/>
          <w:szCs w:val="32"/>
          <w:shd w:val="clear" w:color="auto" w:fill="FBFDFE"/>
        </w:rPr>
        <w:t>(2)意向受让方如未被确定为受让方，自受让方确定后，按南京市溧水区国有资产资源交易中心的相关规定退还其缴纳的信誉保证金本金（不计利息）；</w:t>
      </w:r>
    </w:p>
    <w:p w14:paraId="7822A5AC">
      <w:pPr>
        <w:pStyle w:val="4"/>
        <w:shd w:val="clear" w:color="auto" w:fill="FBFDFE"/>
        <w:spacing w:line="360" w:lineRule="auto"/>
        <w:ind w:firstLine="640" w:firstLineChars="200"/>
        <w:rPr>
          <w:rFonts w:ascii="仿宋_GB2312" w:hAnsi="仿宋_GB2312" w:eastAsia="仿宋_GB2312" w:cs="仿宋_GB2312"/>
          <w:color w:val="333333"/>
          <w:sz w:val="32"/>
          <w:szCs w:val="32"/>
          <w:shd w:val="clear" w:color="auto" w:fill="FBFDFE"/>
        </w:rPr>
      </w:pPr>
      <w:r>
        <w:rPr>
          <w:rFonts w:hint="eastAsia" w:ascii="仿宋_GB2312" w:hAnsi="仿宋_GB2312" w:eastAsia="仿宋_GB2312" w:cs="仿宋_GB2312"/>
          <w:color w:val="333333"/>
          <w:sz w:val="32"/>
          <w:szCs w:val="32"/>
          <w:shd w:val="clear" w:color="auto" w:fill="FBFDFE"/>
        </w:rPr>
        <w:t xml:space="preserve">(3)退还保证金时，意向受让方为自然人的，需本人携带身份证、财务收据前往国有资产资源交易中心办理退款手续；为法人或其他组织的，需提供单位证明、经办人身份证、财务收据前往国有资产资源交易中心办理退款手续。                                                                                          </w:t>
      </w:r>
    </w:p>
    <w:p w14:paraId="582B2DB3">
      <w:pPr>
        <w:pStyle w:val="4"/>
        <w:shd w:val="clear" w:color="auto" w:fill="FBFDFE"/>
        <w:spacing w:line="360" w:lineRule="auto"/>
        <w:ind w:firstLine="640" w:firstLineChars="200"/>
        <w:rPr>
          <w:rFonts w:ascii="仿宋_GB2312" w:hAnsi="仿宋_GB2312" w:eastAsia="仿宋_GB2312" w:cs="仿宋_GB2312"/>
          <w:color w:val="333333"/>
          <w:sz w:val="32"/>
          <w:szCs w:val="32"/>
          <w:shd w:val="clear" w:color="auto" w:fill="FBFDFE"/>
        </w:rPr>
      </w:pPr>
      <w:r>
        <w:rPr>
          <w:rFonts w:hint="eastAsia" w:ascii="仿宋_GB2312" w:hAnsi="仿宋_GB2312" w:eastAsia="仿宋_GB2312" w:cs="仿宋_GB2312"/>
          <w:color w:val="333333"/>
          <w:sz w:val="32"/>
          <w:szCs w:val="32"/>
          <w:shd w:val="clear" w:color="auto" w:fill="FBFDFE"/>
        </w:rPr>
        <w:t xml:space="preserve">(4)意向受让方或受让方有如下行为的，其缴纳的保证金不予退还，由此造成出让方损失的，该意向受让方或受让方须承担赔偿责任；保证金不足以赔偿出让方损失的，不足的部分，该意向受让方或受让方须另行赔偿：         </w:t>
      </w:r>
    </w:p>
    <w:p w14:paraId="0E5222C5">
      <w:pPr>
        <w:pStyle w:val="4"/>
        <w:shd w:val="clear" w:color="auto" w:fill="FBFDFE"/>
        <w:spacing w:line="360" w:lineRule="auto"/>
        <w:ind w:firstLine="640" w:firstLineChars="200"/>
        <w:rPr>
          <w:rFonts w:ascii="仿宋_GB2312" w:hAnsi="仿宋_GB2312" w:eastAsia="仿宋_GB2312" w:cs="仿宋_GB2312"/>
          <w:color w:val="333333"/>
          <w:sz w:val="32"/>
          <w:szCs w:val="32"/>
          <w:shd w:val="clear" w:color="auto" w:fill="FBFDFE"/>
        </w:rPr>
      </w:pPr>
      <w:r>
        <w:rPr>
          <w:rFonts w:hint="eastAsia" w:ascii="仿宋_GB2312" w:hAnsi="仿宋_GB2312" w:eastAsia="仿宋_GB2312" w:cs="仿宋_GB2312"/>
          <w:color w:val="333333"/>
          <w:sz w:val="32"/>
          <w:szCs w:val="32"/>
          <w:shd w:val="clear" w:color="auto" w:fill="FBFDFE"/>
        </w:rPr>
        <w:t>a、协议出租的,被确认为受让方之日起5个工作日内未签署《资产交易合同》的；</w:t>
      </w:r>
    </w:p>
    <w:p w14:paraId="09B21AFE">
      <w:pPr>
        <w:pStyle w:val="4"/>
        <w:shd w:val="clear" w:color="auto" w:fill="FBFDFE"/>
        <w:spacing w:line="360" w:lineRule="auto"/>
        <w:ind w:firstLine="640" w:firstLineChars="200"/>
        <w:rPr>
          <w:rFonts w:ascii="仿宋_GB2312" w:hAnsi="仿宋_GB2312" w:eastAsia="仿宋_GB2312" w:cs="仿宋_GB2312"/>
          <w:color w:val="333333"/>
          <w:sz w:val="32"/>
          <w:szCs w:val="32"/>
          <w:shd w:val="clear" w:color="auto" w:fill="FBFDFE"/>
        </w:rPr>
      </w:pPr>
      <w:r>
        <w:rPr>
          <w:rFonts w:hint="eastAsia" w:ascii="仿宋_GB2312" w:hAnsi="仿宋_GB2312" w:eastAsia="仿宋_GB2312" w:cs="仿宋_GB2312"/>
          <w:color w:val="333333"/>
          <w:sz w:val="32"/>
          <w:szCs w:val="32"/>
          <w:shd w:val="clear" w:color="auto" w:fill="FBFDFE"/>
        </w:rPr>
        <w:t>b、在被确认为受让方后，拒绝与出让方签署《资产交易合同》或未在规定时间内签署《资产交易合同》的；</w:t>
      </w:r>
    </w:p>
    <w:p w14:paraId="2E41780B">
      <w:pPr>
        <w:pStyle w:val="4"/>
        <w:shd w:val="clear" w:color="auto" w:fill="FBFDFE"/>
        <w:spacing w:line="360" w:lineRule="auto"/>
        <w:ind w:firstLine="640" w:firstLineChars="200"/>
        <w:rPr>
          <w:rFonts w:ascii="仿宋_GB2312" w:hAnsi="仿宋_GB2312" w:eastAsia="仿宋_GB2312" w:cs="仿宋_GB2312"/>
          <w:color w:val="333333"/>
          <w:sz w:val="32"/>
          <w:szCs w:val="32"/>
          <w:shd w:val="clear" w:color="auto" w:fill="FBFDFE"/>
        </w:rPr>
      </w:pPr>
      <w:r>
        <w:rPr>
          <w:rFonts w:hint="eastAsia" w:ascii="仿宋_GB2312" w:hAnsi="仿宋_GB2312" w:eastAsia="仿宋_GB2312" w:cs="仿宋_GB2312"/>
          <w:color w:val="333333"/>
          <w:sz w:val="32"/>
          <w:szCs w:val="32"/>
          <w:shd w:val="clear" w:color="auto" w:fill="FBFDFE"/>
        </w:rPr>
        <w:t>c、在被确认为受让方后，未在规定时间（7个工作日）内向出让方付清履约保证金（</w:t>
      </w:r>
      <w:r>
        <w:rPr>
          <w:rFonts w:hint="eastAsia" w:ascii="仿宋_GB2312" w:hAnsi="仿宋_GB2312" w:eastAsia="仿宋_GB2312" w:cs="仿宋_GB2312"/>
          <w:color w:val="333333"/>
          <w:sz w:val="32"/>
          <w:szCs w:val="32"/>
          <w:shd w:val="clear" w:color="auto" w:fill="FBFDFE"/>
          <w:lang w:eastAsia="zh-CN"/>
        </w:rPr>
        <w:t>转让</w:t>
      </w:r>
      <w:r>
        <w:rPr>
          <w:rFonts w:hint="eastAsia" w:ascii="仿宋_GB2312" w:hAnsi="仿宋_GB2312" w:eastAsia="仿宋_GB2312" w:cs="仿宋_GB2312"/>
          <w:color w:val="333333"/>
          <w:sz w:val="32"/>
          <w:szCs w:val="32"/>
          <w:shd w:val="clear" w:color="auto" w:fill="FBFDFE"/>
        </w:rPr>
        <w:t>押金）和租金的；</w:t>
      </w:r>
    </w:p>
    <w:p w14:paraId="30110CD7">
      <w:pPr>
        <w:pStyle w:val="4"/>
        <w:shd w:val="clear" w:color="auto" w:fill="FBFDFE"/>
        <w:spacing w:line="360" w:lineRule="auto"/>
        <w:ind w:firstLine="640" w:firstLineChars="200"/>
        <w:rPr>
          <w:rFonts w:ascii="仿宋_GB2312" w:hAnsi="仿宋_GB2312" w:eastAsia="仿宋_GB2312" w:cs="仿宋_GB2312"/>
          <w:color w:val="333333"/>
          <w:sz w:val="32"/>
          <w:szCs w:val="32"/>
          <w:shd w:val="clear" w:color="auto" w:fill="FBFDFE"/>
        </w:rPr>
      </w:pPr>
      <w:r>
        <w:rPr>
          <w:rFonts w:hint="eastAsia" w:ascii="仿宋_GB2312" w:hAnsi="仿宋_GB2312" w:eastAsia="仿宋_GB2312" w:cs="仿宋_GB2312"/>
          <w:color w:val="333333"/>
          <w:sz w:val="32"/>
          <w:szCs w:val="32"/>
          <w:shd w:val="clear" w:color="auto" w:fill="FBFDFE"/>
        </w:rPr>
        <w:t>d、未按《资产交易合同》履约的；</w:t>
      </w:r>
    </w:p>
    <w:p w14:paraId="5D74EF69">
      <w:pPr>
        <w:pStyle w:val="4"/>
        <w:shd w:val="clear" w:color="auto" w:fill="FBFDFE"/>
        <w:spacing w:line="360" w:lineRule="auto"/>
        <w:ind w:firstLine="640" w:firstLineChars="200"/>
        <w:rPr>
          <w:rFonts w:ascii="仿宋_GB2312" w:hAnsi="仿宋_GB2312" w:eastAsia="仿宋_GB2312" w:cs="仿宋_GB2312"/>
          <w:color w:val="333333"/>
          <w:sz w:val="32"/>
          <w:szCs w:val="32"/>
          <w:shd w:val="clear" w:color="auto" w:fill="FBFDFE"/>
        </w:rPr>
      </w:pPr>
      <w:r>
        <w:rPr>
          <w:rFonts w:hint="eastAsia" w:ascii="仿宋_GB2312" w:hAnsi="仿宋_GB2312" w:eastAsia="仿宋_GB2312" w:cs="仿宋_GB2312"/>
          <w:color w:val="333333"/>
          <w:sz w:val="32"/>
          <w:szCs w:val="32"/>
          <w:shd w:val="clear" w:color="auto" w:fill="FBFDFE"/>
        </w:rPr>
        <w:t>e、提供虚假资料的；</w:t>
      </w:r>
    </w:p>
    <w:p w14:paraId="77DE13EB">
      <w:pPr>
        <w:pStyle w:val="4"/>
        <w:shd w:val="clear" w:color="auto" w:fill="FBFDFE"/>
        <w:spacing w:line="360" w:lineRule="auto"/>
        <w:ind w:firstLine="640" w:firstLineChars="200"/>
        <w:rPr>
          <w:rFonts w:ascii="仿宋_GB2312" w:hAnsi="仿宋_GB2312" w:eastAsia="仿宋_GB2312" w:cs="仿宋_GB2312"/>
          <w:color w:val="333333"/>
          <w:sz w:val="32"/>
          <w:szCs w:val="32"/>
          <w:shd w:val="clear" w:color="auto" w:fill="FBFDFE"/>
        </w:rPr>
      </w:pPr>
      <w:r>
        <w:rPr>
          <w:rFonts w:hint="eastAsia" w:ascii="仿宋_GB2312" w:hAnsi="仿宋_GB2312" w:eastAsia="仿宋_GB2312" w:cs="仿宋_GB2312"/>
          <w:color w:val="333333"/>
          <w:sz w:val="32"/>
          <w:szCs w:val="32"/>
          <w:shd w:val="clear" w:color="auto" w:fill="FBFDFE"/>
        </w:rPr>
        <w:t>f、扰乱交易场所秩序；</w:t>
      </w:r>
    </w:p>
    <w:p w14:paraId="445044C8">
      <w:pPr>
        <w:pStyle w:val="4"/>
        <w:shd w:val="clear" w:color="auto" w:fill="FBFDFE"/>
        <w:spacing w:line="360" w:lineRule="auto"/>
        <w:ind w:firstLine="640" w:firstLineChars="200"/>
        <w:rPr>
          <w:rFonts w:ascii="仿宋_GB2312" w:hAnsi="仿宋_GB2312" w:eastAsia="仿宋_GB2312" w:cs="仿宋_GB2312"/>
          <w:color w:val="333333"/>
          <w:sz w:val="32"/>
          <w:szCs w:val="32"/>
          <w:shd w:val="clear" w:color="auto" w:fill="FBFDFE"/>
        </w:rPr>
      </w:pPr>
      <w:r>
        <w:rPr>
          <w:rFonts w:hint="eastAsia" w:ascii="仿宋_GB2312" w:hAnsi="仿宋_GB2312" w:eastAsia="仿宋_GB2312" w:cs="仿宋_GB2312"/>
          <w:color w:val="333333"/>
          <w:sz w:val="32"/>
          <w:szCs w:val="32"/>
          <w:shd w:val="clear" w:color="auto" w:fill="FBFDFE"/>
        </w:rPr>
        <w:t>g、相互串通，损害国家、集体或他人的合法权益的；</w:t>
      </w:r>
    </w:p>
    <w:p w14:paraId="35A4E178">
      <w:pPr>
        <w:pStyle w:val="4"/>
        <w:shd w:val="clear" w:color="auto" w:fill="FBFDFE"/>
        <w:spacing w:line="360" w:lineRule="auto"/>
        <w:ind w:firstLine="640" w:firstLineChars="200"/>
        <w:rPr>
          <w:rFonts w:hint="eastAsia" w:ascii="仿宋_GB2312" w:hAnsi="仿宋_GB2312" w:eastAsia="仿宋_GB2312" w:cs="仿宋_GB2312"/>
          <w:color w:val="333333"/>
          <w:sz w:val="32"/>
          <w:szCs w:val="32"/>
          <w:shd w:val="clear" w:color="auto" w:fill="FBFDFE"/>
        </w:rPr>
      </w:pPr>
      <w:r>
        <w:rPr>
          <w:rFonts w:hint="eastAsia" w:ascii="仿宋_GB2312" w:hAnsi="仿宋_GB2312" w:eastAsia="仿宋_GB2312" w:cs="仿宋_GB2312"/>
          <w:color w:val="333333"/>
          <w:sz w:val="32"/>
          <w:szCs w:val="32"/>
          <w:shd w:val="clear" w:color="auto" w:fill="FBFDFE"/>
        </w:rPr>
        <w:t>h、法律、法规规定的其他情形；</w:t>
      </w:r>
    </w:p>
    <w:p w14:paraId="2BAD73C6">
      <w:pPr>
        <w:pStyle w:val="4"/>
        <w:shd w:val="clear" w:color="auto" w:fill="FBFDFE"/>
        <w:spacing w:line="360" w:lineRule="auto"/>
        <w:ind w:firstLine="643" w:firstLineChars="200"/>
        <w:rPr>
          <w:rFonts w:ascii="仿宋_GB2312" w:hAnsi="仿宋_GB2312" w:eastAsia="仿宋_GB2312" w:cs="仿宋_GB2312"/>
          <w:b/>
          <w:color w:val="333333"/>
          <w:sz w:val="32"/>
          <w:szCs w:val="32"/>
          <w:shd w:val="clear" w:color="auto" w:fill="FBFDFE"/>
        </w:rPr>
      </w:pPr>
      <w:r>
        <w:rPr>
          <w:rFonts w:hint="eastAsia" w:ascii="仿宋_GB2312" w:hAnsi="仿宋_GB2312" w:eastAsia="仿宋_GB2312" w:cs="仿宋_GB2312"/>
          <w:b/>
          <w:color w:val="333333"/>
          <w:sz w:val="32"/>
          <w:szCs w:val="32"/>
          <w:shd w:val="clear" w:color="auto" w:fill="FBFDFE"/>
        </w:rPr>
        <w:t>四、其它条件：</w:t>
      </w:r>
    </w:p>
    <w:p w14:paraId="469F2FA8">
      <w:pPr>
        <w:pStyle w:val="4"/>
        <w:shd w:val="clear" w:color="auto" w:fill="FBFDFE"/>
        <w:spacing w:line="360" w:lineRule="auto"/>
        <w:rPr>
          <w:rFonts w:ascii="仿宋_GB2312" w:hAnsi="仿宋_GB2312" w:eastAsia="仿宋_GB2312" w:cs="仿宋_GB2312"/>
          <w:color w:val="333333"/>
          <w:sz w:val="32"/>
          <w:szCs w:val="32"/>
          <w:shd w:val="clear" w:color="auto" w:fill="FBFDFE"/>
        </w:rPr>
      </w:pPr>
      <w:r>
        <w:rPr>
          <w:rFonts w:hint="eastAsia" w:ascii="仿宋_GB2312" w:hAnsi="仿宋_GB2312" w:eastAsia="仿宋_GB2312" w:cs="仿宋_GB2312"/>
          <w:color w:val="333333"/>
          <w:sz w:val="32"/>
          <w:szCs w:val="32"/>
          <w:shd w:val="clear" w:color="auto" w:fill="FBFDFE"/>
        </w:rPr>
        <w:t>1.药品目录  医院已有同通用名、同厂家的药品，即使规格包装不同，药店不得配备。</w:t>
      </w:r>
      <w:r>
        <w:rPr>
          <w:rFonts w:hint="eastAsia" w:ascii="仿宋_GB2312" w:hAnsi="仿宋_GB2312" w:eastAsia="仿宋_GB2312" w:cs="仿宋_GB2312"/>
          <w:color w:val="333333"/>
          <w:sz w:val="32"/>
          <w:szCs w:val="32"/>
          <w:shd w:val="clear" w:color="auto" w:fill="FBFDFE"/>
        </w:rPr>
        <w:br w:type="textWrapping"/>
      </w:r>
      <w:r>
        <w:rPr>
          <w:rFonts w:hint="eastAsia" w:ascii="仿宋_GB2312" w:hAnsi="仿宋_GB2312" w:eastAsia="仿宋_GB2312" w:cs="仿宋_GB2312"/>
          <w:color w:val="333333"/>
          <w:sz w:val="32"/>
          <w:szCs w:val="32"/>
          <w:shd w:val="clear" w:color="auto" w:fill="FBFDFE"/>
        </w:rPr>
        <w:t>2.药品质量  药店经营的药品必须经正规途径采购，质量可靠，同时配备确保药品质量的管理体系，软硬件设施等。</w:t>
      </w:r>
      <w:r>
        <w:rPr>
          <w:rFonts w:hint="eastAsia" w:ascii="仿宋_GB2312" w:hAnsi="仿宋_GB2312" w:eastAsia="仿宋_GB2312" w:cs="仿宋_GB2312"/>
          <w:color w:val="333333"/>
          <w:sz w:val="32"/>
          <w:szCs w:val="32"/>
          <w:shd w:val="clear" w:color="auto" w:fill="FBFDFE"/>
        </w:rPr>
        <w:br w:type="textWrapping"/>
      </w:r>
      <w:r>
        <w:rPr>
          <w:rFonts w:hint="eastAsia" w:ascii="仿宋_GB2312" w:hAnsi="仿宋_GB2312" w:eastAsia="仿宋_GB2312" w:cs="仿宋_GB2312"/>
          <w:color w:val="333333"/>
          <w:sz w:val="32"/>
          <w:szCs w:val="32"/>
          <w:shd w:val="clear" w:color="auto" w:fill="FBFDFE"/>
        </w:rPr>
        <w:t>3.药品配送 药品的保供性、及时性、配送的延续性；确保药品保供和配送及时，不得延误患者用药。</w:t>
      </w:r>
      <w:r>
        <w:rPr>
          <w:rFonts w:hint="eastAsia" w:ascii="仿宋_GB2312" w:hAnsi="仿宋_GB2312" w:eastAsia="仿宋_GB2312" w:cs="仿宋_GB2312"/>
          <w:color w:val="333333"/>
          <w:sz w:val="32"/>
          <w:szCs w:val="32"/>
          <w:shd w:val="clear" w:color="auto" w:fill="FBFDFE"/>
        </w:rPr>
        <w:br w:type="textWrapping"/>
      </w:r>
      <w:r>
        <w:rPr>
          <w:rFonts w:hint="eastAsia" w:ascii="仿宋_GB2312" w:hAnsi="仿宋_GB2312" w:eastAsia="仿宋_GB2312" w:cs="仿宋_GB2312"/>
          <w:color w:val="333333"/>
          <w:sz w:val="32"/>
          <w:szCs w:val="32"/>
          <w:shd w:val="clear" w:color="auto" w:fill="FBFDFE"/>
        </w:rPr>
        <w:t>4.售后服务  提供药品使用咨询服务，提供药品质量问题的处理方案，退换货政策等。</w:t>
      </w:r>
      <w:r>
        <w:rPr>
          <w:rFonts w:hint="eastAsia" w:ascii="仿宋_GB2312" w:hAnsi="仿宋_GB2312" w:eastAsia="仿宋_GB2312" w:cs="仿宋_GB2312"/>
          <w:color w:val="333333"/>
          <w:sz w:val="32"/>
          <w:szCs w:val="32"/>
          <w:shd w:val="clear" w:color="auto" w:fill="FBFDFE"/>
        </w:rPr>
        <w:br w:type="textWrapping"/>
      </w:r>
      <w:r>
        <w:rPr>
          <w:rFonts w:hint="eastAsia" w:ascii="仿宋_GB2312" w:hAnsi="仿宋_GB2312" w:eastAsia="仿宋_GB2312" w:cs="仿宋_GB2312"/>
          <w:color w:val="333333"/>
          <w:sz w:val="32"/>
          <w:szCs w:val="32"/>
          <w:shd w:val="clear" w:color="auto" w:fill="FBFDFE"/>
        </w:rPr>
        <w:t>5.投诉管理  制定投诉纠纷管理制度，出现投诉积极处理，原则上，不得发生因内部管理问题导致投诉的出现。</w:t>
      </w:r>
    </w:p>
    <w:p w14:paraId="7A0C64B0">
      <w:pPr>
        <w:pStyle w:val="4"/>
        <w:shd w:val="clear" w:color="auto" w:fill="FBFDFE"/>
        <w:spacing w:line="360" w:lineRule="auto"/>
        <w:ind w:firstLine="643" w:firstLineChars="200"/>
        <w:rPr>
          <w:rFonts w:ascii="仿宋_GB2312" w:hAnsi="仿宋_GB2312" w:eastAsia="仿宋_GB2312" w:cs="仿宋_GB2312"/>
          <w:b/>
          <w:color w:val="333333"/>
          <w:sz w:val="32"/>
          <w:szCs w:val="32"/>
          <w:shd w:val="clear" w:color="auto" w:fill="FBFDFE"/>
        </w:rPr>
      </w:pPr>
      <w:r>
        <w:rPr>
          <w:rFonts w:hint="eastAsia" w:ascii="仿宋_GB2312" w:hAnsi="仿宋_GB2312" w:eastAsia="仿宋_GB2312" w:cs="仿宋_GB2312"/>
          <w:b/>
          <w:color w:val="333333"/>
          <w:sz w:val="32"/>
          <w:szCs w:val="32"/>
          <w:shd w:val="clear" w:color="auto" w:fill="FBFDFE"/>
        </w:rPr>
        <w:t>五、对受让方的要求：</w:t>
      </w:r>
    </w:p>
    <w:p w14:paraId="00D57D84">
      <w:pPr>
        <w:pStyle w:val="4"/>
        <w:shd w:val="clear" w:color="auto" w:fill="FBFDFE"/>
        <w:spacing w:line="360" w:lineRule="auto"/>
        <w:ind w:firstLine="640" w:firstLineChars="200"/>
        <w:rPr>
          <w:rFonts w:ascii="仿宋_GB2312" w:hAnsi="仿宋_GB2312" w:eastAsia="仿宋_GB2312" w:cs="仿宋_GB2312"/>
          <w:color w:val="333333"/>
          <w:sz w:val="32"/>
          <w:szCs w:val="32"/>
          <w:shd w:val="clear" w:color="auto" w:fill="FBFDFE"/>
        </w:rPr>
      </w:pPr>
      <w:r>
        <w:rPr>
          <w:rFonts w:hint="eastAsia" w:ascii="仿宋_GB2312" w:hAnsi="仿宋_GB2312" w:eastAsia="仿宋_GB2312" w:cs="仿宋_GB2312"/>
          <w:color w:val="333333"/>
          <w:sz w:val="32"/>
          <w:szCs w:val="32"/>
          <w:shd w:val="clear" w:color="auto" w:fill="FBFDFE"/>
        </w:rPr>
        <w:t>1.意向受让方近三年内，在经营活动中没有重大违法记录（</w:t>
      </w:r>
      <w:r>
        <w:rPr>
          <w:rFonts w:hint="eastAsia" w:ascii="仿宋_GB2312" w:hAnsi="仿宋_GB2312" w:eastAsia="仿宋_GB2312" w:cs="仿宋_GB2312"/>
          <w:color w:val="333333"/>
          <w:sz w:val="32"/>
          <w:szCs w:val="32"/>
          <w:shd w:val="clear" w:color="auto" w:fill="FBFDFE"/>
          <w:lang w:eastAsia="zh-CN"/>
        </w:rPr>
        <w:t>提供受让方</w:t>
      </w:r>
      <w:r>
        <w:rPr>
          <w:rFonts w:hint="eastAsia" w:ascii="仿宋_GB2312" w:hAnsi="仿宋_GB2312" w:eastAsia="仿宋_GB2312" w:cs="仿宋_GB2312"/>
          <w:color w:val="333333"/>
          <w:sz w:val="32"/>
          <w:szCs w:val="32"/>
          <w:shd w:val="clear" w:color="auto" w:fill="FBFDFE"/>
        </w:rPr>
        <w:t>承诺书并加盖公章，格式自拟）；</w:t>
      </w:r>
    </w:p>
    <w:p w14:paraId="684D6B1F">
      <w:pPr>
        <w:pStyle w:val="4"/>
        <w:shd w:val="clear" w:color="auto" w:fill="FBFDFE"/>
        <w:spacing w:line="360" w:lineRule="auto"/>
        <w:ind w:firstLine="640" w:firstLineChars="200"/>
        <w:rPr>
          <w:rFonts w:hint="eastAsia" w:ascii="仿宋_GB2312" w:hAnsi="仿宋_GB2312" w:eastAsia="仿宋_GB2312" w:cs="仿宋_GB2312"/>
          <w:color w:val="333333"/>
          <w:sz w:val="32"/>
          <w:szCs w:val="32"/>
          <w:shd w:val="clear" w:color="auto" w:fill="FBFDFE"/>
        </w:rPr>
      </w:pPr>
      <w:r>
        <w:rPr>
          <w:rFonts w:hint="eastAsia" w:ascii="仿宋_GB2312" w:hAnsi="仿宋_GB2312" w:eastAsia="仿宋_GB2312" w:cs="仿宋_GB2312"/>
          <w:color w:val="333333"/>
          <w:sz w:val="32"/>
          <w:szCs w:val="32"/>
          <w:shd w:val="clear" w:color="auto" w:fill="FBFDFE"/>
        </w:rPr>
        <w:t>2.受让人管理要求</w:t>
      </w:r>
    </w:p>
    <w:p w14:paraId="4D90B911">
      <w:pPr>
        <w:pStyle w:val="4"/>
        <w:shd w:val="clear" w:color="auto" w:fill="FBFDFE"/>
        <w:spacing w:line="360" w:lineRule="auto"/>
        <w:ind w:firstLine="640" w:firstLineChars="200"/>
        <w:rPr>
          <w:rFonts w:hint="eastAsia" w:ascii="仿宋_GB2312" w:hAnsi="仿宋_GB2312" w:eastAsia="仿宋_GB2312" w:cs="仿宋_GB2312"/>
          <w:color w:val="333333"/>
          <w:sz w:val="32"/>
          <w:szCs w:val="32"/>
          <w:shd w:val="clear" w:color="auto" w:fill="FBFDFE"/>
        </w:rPr>
      </w:pPr>
      <w:r>
        <w:rPr>
          <w:rFonts w:hint="eastAsia" w:ascii="仿宋_GB2312" w:hAnsi="仿宋_GB2312" w:eastAsia="仿宋_GB2312" w:cs="仿宋_GB2312"/>
          <w:color w:val="333333"/>
          <w:sz w:val="32"/>
          <w:szCs w:val="32"/>
          <w:shd w:val="clear" w:color="auto" w:fill="FBFDFE"/>
        </w:rPr>
        <w:t>（1）资质  独立企业法人，具有药品经营许可证、药品经营质量管理规范认证证书、医用器械经营许可证。</w:t>
      </w:r>
      <w:r>
        <w:rPr>
          <w:rFonts w:hint="eastAsia" w:ascii="仿宋_GB2312" w:hAnsi="仿宋_GB2312" w:eastAsia="仿宋_GB2312" w:cs="仿宋_GB2312"/>
          <w:color w:val="333333"/>
          <w:sz w:val="32"/>
          <w:szCs w:val="32"/>
          <w:shd w:val="clear" w:color="auto" w:fill="FBFDFE"/>
        </w:rPr>
        <w:br w:type="textWrapping"/>
      </w:r>
      <w:r>
        <w:rPr>
          <w:rFonts w:hint="eastAsia" w:ascii="仿宋_GB2312" w:hAnsi="仿宋_GB2312" w:eastAsia="仿宋_GB2312" w:cs="仿宋_GB2312"/>
          <w:color w:val="333333"/>
          <w:sz w:val="32"/>
          <w:szCs w:val="32"/>
          <w:shd w:val="clear" w:color="auto" w:fill="FBFDFE"/>
        </w:rPr>
        <w:t xml:space="preserve">    （2）经营范围  药店独立经营，服从医院监管。经营范围包括药品、精制中药饮片、保健品、医用耗材、小型医疗器械及计生用品等，不得超经营许可证范围经营。</w:t>
      </w:r>
    </w:p>
    <w:p w14:paraId="30DC8C5C">
      <w:pPr>
        <w:pStyle w:val="4"/>
        <w:shd w:val="clear" w:color="auto" w:fill="FBFDFE"/>
        <w:spacing w:line="360" w:lineRule="auto"/>
        <w:ind w:firstLine="640" w:firstLineChars="200"/>
        <w:rPr>
          <w:rFonts w:hint="eastAsia" w:ascii="仿宋_GB2312" w:hAnsi="仿宋_GB2312" w:eastAsia="仿宋_GB2312" w:cs="仿宋_GB2312"/>
          <w:color w:val="333333"/>
          <w:sz w:val="32"/>
          <w:szCs w:val="32"/>
          <w:shd w:val="clear" w:color="auto" w:fill="FBFDFE"/>
        </w:rPr>
      </w:pPr>
      <w:r>
        <w:rPr>
          <w:rFonts w:hint="eastAsia" w:ascii="仿宋_GB2312" w:hAnsi="仿宋_GB2312" w:eastAsia="仿宋_GB2312" w:cs="仿宋_GB2312"/>
          <w:color w:val="333333"/>
          <w:sz w:val="32"/>
          <w:szCs w:val="32"/>
          <w:shd w:val="clear" w:color="auto" w:fill="FBFDFE"/>
        </w:rPr>
        <w:t>3.国谈双通道管理要求</w:t>
      </w:r>
    </w:p>
    <w:p w14:paraId="331A2061">
      <w:pPr>
        <w:pStyle w:val="4"/>
        <w:shd w:val="clear" w:color="auto" w:fill="FBFDFE"/>
        <w:spacing w:line="360" w:lineRule="auto"/>
        <w:ind w:firstLine="640" w:firstLineChars="200"/>
        <w:rPr>
          <w:rFonts w:hint="eastAsia" w:ascii="仿宋_GB2312" w:hAnsi="仿宋_GB2312" w:eastAsia="仿宋_GB2312" w:cs="仿宋_GB2312"/>
          <w:color w:val="333333"/>
          <w:sz w:val="32"/>
          <w:szCs w:val="32"/>
          <w:shd w:val="clear" w:color="auto" w:fill="FBFDFE"/>
        </w:rPr>
      </w:pPr>
      <w:r>
        <w:rPr>
          <w:rFonts w:hint="eastAsia" w:ascii="仿宋_GB2312" w:hAnsi="仿宋_GB2312" w:eastAsia="仿宋_GB2312" w:cs="仿宋_GB2312"/>
          <w:color w:val="333333"/>
          <w:sz w:val="32"/>
          <w:szCs w:val="32"/>
          <w:shd w:val="clear" w:color="auto" w:fill="FBFDFE"/>
        </w:rPr>
        <w:t>（1）为确保国谈药品双通道政策执行，药店需配备一定数量的国谈双通道药品，以满足患者用药需求，并根据医院诊疗</w:t>
      </w:r>
      <w:r>
        <w:rPr>
          <w:rFonts w:hint="eastAsia" w:ascii="仿宋_GB2312" w:hAnsi="仿宋_GB2312" w:eastAsia="仿宋_GB2312" w:cs="仿宋_GB2312"/>
          <w:color w:val="333333"/>
          <w:sz w:val="32"/>
          <w:szCs w:val="32"/>
          <w:shd w:val="clear" w:color="auto" w:fill="FBFDFE"/>
          <w:lang w:val="en-US" w:eastAsia="zh-CN"/>
        </w:rPr>
        <w:t>工作开展</w:t>
      </w:r>
      <w:r>
        <w:rPr>
          <w:rFonts w:hint="eastAsia" w:ascii="仿宋_GB2312" w:hAnsi="仿宋_GB2312" w:eastAsia="仿宋_GB2312" w:cs="仿宋_GB2312"/>
          <w:color w:val="333333"/>
          <w:sz w:val="32"/>
          <w:szCs w:val="32"/>
          <w:shd w:val="clear" w:color="auto" w:fill="FBFDFE"/>
        </w:rPr>
        <w:t>需要，及时增加；</w:t>
      </w:r>
      <w:r>
        <w:rPr>
          <w:rFonts w:hint="eastAsia" w:ascii="仿宋_GB2312" w:hAnsi="仿宋_GB2312" w:eastAsia="仿宋_GB2312" w:cs="仿宋_GB2312"/>
          <w:color w:val="333333"/>
          <w:sz w:val="32"/>
          <w:szCs w:val="32"/>
          <w:shd w:val="clear" w:color="auto" w:fill="FBFDFE"/>
        </w:rPr>
        <w:br w:type="textWrapping"/>
      </w:r>
      <w:r>
        <w:rPr>
          <w:rFonts w:hint="eastAsia" w:ascii="仿宋_GB2312" w:hAnsi="仿宋_GB2312" w:eastAsia="仿宋_GB2312" w:cs="仿宋_GB2312"/>
          <w:color w:val="333333"/>
          <w:sz w:val="32"/>
          <w:szCs w:val="32"/>
          <w:shd w:val="clear" w:color="auto" w:fill="FBFDFE"/>
        </w:rPr>
        <w:t xml:space="preserve">    （2）不具备双通道资质的，在药店入场后三个月内积极申请开通双通道资质</w:t>
      </w:r>
      <w:r>
        <w:rPr>
          <w:rFonts w:hint="eastAsia" w:ascii="仿宋_GB2312" w:hAnsi="仿宋_GB2312" w:eastAsia="仿宋_GB2312" w:cs="仿宋_GB2312"/>
          <w:color w:val="333333"/>
          <w:sz w:val="32"/>
          <w:szCs w:val="32"/>
          <w:shd w:val="clear" w:color="auto" w:fill="FBFDFE"/>
          <w:lang w:eastAsia="zh-CN"/>
        </w:rPr>
        <w:t>，</w:t>
      </w:r>
      <w:r>
        <w:rPr>
          <w:rFonts w:hint="eastAsia" w:ascii="仿宋_GB2312" w:hAnsi="仿宋_GB2312" w:eastAsia="仿宋_GB2312" w:cs="仿宋_GB2312"/>
          <w:color w:val="333333"/>
          <w:sz w:val="32"/>
          <w:szCs w:val="32"/>
          <w:shd w:val="clear" w:color="auto" w:fill="FBFDFE"/>
        </w:rPr>
        <w:t>已有的可注明目前具备。</w:t>
      </w:r>
    </w:p>
    <w:p w14:paraId="6E325E90">
      <w:pPr>
        <w:pStyle w:val="4"/>
        <w:shd w:val="clear" w:color="auto" w:fill="FBFDFE"/>
        <w:spacing w:line="360" w:lineRule="auto"/>
        <w:ind w:firstLine="643" w:firstLineChars="200"/>
        <w:rPr>
          <w:rFonts w:ascii="仿宋_GB2312" w:hAnsi="仿宋_GB2312" w:eastAsia="仿宋_GB2312" w:cs="仿宋_GB2312"/>
          <w:b/>
          <w:color w:val="333333"/>
          <w:sz w:val="32"/>
          <w:szCs w:val="32"/>
          <w:shd w:val="clear" w:color="auto" w:fill="FBFDFE"/>
        </w:rPr>
      </w:pPr>
      <w:r>
        <w:rPr>
          <w:rFonts w:hint="eastAsia" w:ascii="仿宋_GB2312" w:hAnsi="仿宋_GB2312" w:eastAsia="仿宋_GB2312" w:cs="仿宋_GB2312"/>
          <w:b/>
          <w:color w:val="333333"/>
          <w:sz w:val="32"/>
          <w:szCs w:val="32"/>
          <w:shd w:val="clear" w:color="auto" w:fill="FBFDFE"/>
        </w:rPr>
        <w:t>六、评审办法：综合评审</w:t>
      </w:r>
    </w:p>
    <w:p w14:paraId="7660F6F3">
      <w:pPr>
        <w:pStyle w:val="4"/>
        <w:shd w:val="clear" w:color="auto" w:fill="FBFDFE"/>
        <w:spacing w:line="360" w:lineRule="auto"/>
        <w:ind w:firstLine="640" w:firstLineChars="200"/>
        <w:rPr>
          <w:rFonts w:ascii="仿宋_GB2312" w:hAnsi="仿宋_GB2312" w:eastAsia="仿宋_GB2312" w:cs="仿宋_GB2312"/>
          <w:color w:val="333333"/>
          <w:sz w:val="32"/>
          <w:szCs w:val="32"/>
          <w:shd w:val="clear" w:color="auto" w:fill="FBFDFE"/>
        </w:rPr>
      </w:pPr>
      <w:r>
        <w:rPr>
          <w:rFonts w:hint="eastAsia" w:ascii="仿宋_GB2312" w:hAnsi="仿宋_GB2312" w:eastAsia="仿宋_GB2312" w:cs="仿宋_GB2312"/>
          <w:color w:val="333333"/>
          <w:sz w:val="32"/>
          <w:szCs w:val="32"/>
          <w:shd w:val="clear" w:color="auto" w:fill="FBFDFE"/>
        </w:rPr>
        <w:t>1．评审工作组人员</w:t>
      </w:r>
    </w:p>
    <w:p w14:paraId="7139A6B6">
      <w:pPr>
        <w:pStyle w:val="4"/>
        <w:shd w:val="clear" w:color="auto" w:fill="FBFDFE"/>
        <w:spacing w:line="360" w:lineRule="auto"/>
        <w:ind w:firstLine="640" w:firstLineChars="200"/>
        <w:rPr>
          <w:rFonts w:ascii="仿宋_GB2312" w:hAnsi="仿宋_GB2312" w:eastAsia="仿宋_GB2312" w:cs="仿宋_GB2312"/>
          <w:color w:val="333333"/>
          <w:sz w:val="32"/>
          <w:szCs w:val="32"/>
          <w:shd w:val="clear" w:color="auto" w:fill="FBFDFE"/>
        </w:rPr>
      </w:pPr>
      <w:r>
        <w:rPr>
          <w:rFonts w:hint="eastAsia" w:ascii="仿宋_GB2312" w:hAnsi="仿宋_GB2312" w:eastAsia="仿宋_GB2312" w:cs="仿宋_GB2312"/>
          <w:color w:val="333333"/>
          <w:sz w:val="32"/>
          <w:szCs w:val="32"/>
          <w:shd w:val="clear" w:color="auto" w:fill="FBFDFE"/>
        </w:rPr>
        <w:t>由南京市溧水区人民医院聘请相关专家进行评审确定。</w:t>
      </w:r>
    </w:p>
    <w:p w14:paraId="74DCAEE3">
      <w:pPr>
        <w:pStyle w:val="4"/>
        <w:shd w:val="clear" w:color="auto" w:fill="FBFDFE"/>
        <w:spacing w:line="360" w:lineRule="auto"/>
        <w:ind w:firstLine="640" w:firstLineChars="200"/>
        <w:rPr>
          <w:rFonts w:ascii="仿宋_GB2312" w:hAnsi="仿宋_GB2312" w:eastAsia="仿宋_GB2312" w:cs="仿宋_GB2312"/>
          <w:color w:val="333333"/>
          <w:sz w:val="32"/>
          <w:szCs w:val="32"/>
          <w:shd w:val="clear" w:color="auto" w:fill="FBFDFE"/>
        </w:rPr>
      </w:pPr>
      <w:r>
        <w:rPr>
          <w:rFonts w:hint="eastAsia" w:ascii="仿宋_GB2312" w:hAnsi="仿宋_GB2312" w:eastAsia="仿宋_GB2312" w:cs="仿宋_GB2312"/>
          <w:color w:val="333333"/>
          <w:sz w:val="32"/>
          <w:szCs w:val="32"/>
          <w:shd w:val="clear" w:color="auto" w:fill="FBFDFE"/>
        </w:rPr>
        <w:t>2．评审办法：按规定时间、地点，由南京市溧水区人民医院和南京溧水区国有资产资源交易中心代表主持</w:t>
      </w:r>
      <w:r>
        <w:rPr>
          <w:rFonts w:hint="eastAsia" w:ascii="仿宋_GB2312" w:hAnsi="仿宋_GB2312" w:eastAsia="仿宋_GB2312" w:cs="仿宋_GB2312"/>
          <w:color w:val="333333"/>
          <w:sz w:val="32"/>
          <w:szCs w:val="32"/>
          <w:shd w:val="clear" w:color="auto" w:fill="FBFDFE"/>
          <w:lang w:eastAsia="zh-CN"/>
        </w:rPr>
        <w:t>评审</w:t>
      </w:r>
      <w:r>
        <w:rPr>
          <w:rFonts w:hint="eastAsia" w:ascii="仿宋_GB2312" w:hAnsi="仿宋_GB2312" w:eastAsia="仿宋_GB2312" w:cs="仿宋_GB2312"/>
          <w:color w:val="333333"/>
          <w:sz w:val="32"/>
          <w:szCs w:val="32"/>
          <w:shd w:val="clear" w:color="auto" w:fill="FBFDFE"/>
        </w:rPr>
        <w:t>。评</w:t>
      </w:r>
      <w:r>
        <w:rPr>
          <w:rFonts w:hint="eastAsia" w:ascii="仿宋_GB2312" w:hAnsi="仿宋_GB2312" w:eastAsia="仿宋_GB2312" w:cs="仿宋_GB2312"/>
          <w:color w:val="333333"/>
          <w:sz w:val="32"/>
          <w:szCs w:val="32"/>
          <w:shd w:val="clear" w:color="auto" w:fill="FBFDFE"/>
          <w:lang w:eastAsia="zh-CN"/>
        </w:rPr>
        <w:t>审</w:t>
      </w:r>
      <w:r>
        <w:rPr>
          <w:rFonts w:hint="eastAsia" w:ascii="仿宋_GB2312" w:hAnsi="仿宋_GB2312" w:eastAsia="仿宋_GB2312" w:cs="仿宋_GB2312"/>
          <w:color w:val="333333"/>
          <w:sz w:val="32"/>
          <w:szCs w:val="32"/>
          <w:shd w:val="clear" w:color="auto" w:fill="FBFDFE"/>
        </w:rPr>
        <w:t>小组成员根据评审原则、评审办法，结合受让方报价、资信、实力、相关承诺保证等综合因素择优确定受让方。</w:t>
      </w:r>
    </w:p>
    <w:p w14:paraId="23ECF23B">
      <w:pPr>
        <w:pStyle w:val="4"/>
        <w:shd w:val="clear" w:color="auto" w:fill="FBFDFE"/>
        <w:spacing w:line="360" w:lineRule="auto"/>
        <w:ind w:firstLine="643" w:firstLineChars="200"/>
        <w:rPr>
          <w:rFonts w:ascii="仿宋_GB2312" w:hAnsi="仿宋_GB2312" w:eastAsia="仿宋_GB2312" w:cs="仿宋_GB2312"/>
          <w:b/>
          <w:color w:val="333333"/>
          <w:sz w:val="32"/>
          <w:szCs w:val="32"/>
          <w:shd w:val="clear" w:color="auto" w:fill="FBFDFE"/>
        </w:rPr>
      </w:pPr>
      <w:r>
        <w:rPr>
          <w:rFonts w:hint="eastAsia" w:ascii="仿宋_GB2312" w:hAnsi="仿宋_GB2312" w:eastAsia="仿宋_GB2312" w:cs="仿宋_GB2312"/>
          <w:b/>
          <w:color w:val="333333"/>
          <w:sz w:val="32"/>
          <w:szCs w:val="32"/>
          <w:shd w:val="clear" w:color="auto" w:fill="FBFDFE"/>
        </w:rPr>
        <w:t>七、报名需递交的综合评审材料：</w:t>
      </w:r>
    </w:p>
    <w:p w14:paraId="07466E19">
      <w:pPr>
        <w:pStyle w:val="4"/>
        <w:shd w:val="clear" w:color="auto" w:fill="FBFDFE"/>
        <w:spacing w:line="360" w:lineRule="auto"/>
        <w:ind w:firstLine="640" w:firstLineChars="200"/>
        <w:rPr>
          <w:rFonts w:ascii="仿宋_GB2312" w:hAnsi="仿宋_GB2312" w:eastAsia="仿宋_GB2312" w:cs="仿宋_GB2312"/>
          <w:color w:val="333333"/>
          <w:sz w:val="32"/>
          <w:szCs w:val="32"/>
          <w:shd w:val="clear" w:color="auto" w:fill="FBFDFE"/>
        </w:rPr>
      </w:pPr>
      <w:r>
        <w:rPr>
          <w:rFonts w:hint="eastAsia" w:ascii="仿宋_GB2312" w:hAnsi="仿宋_GB2312" w:eastAsia="仿宋_GB2312" w:cs="仿宋_GB2312"/>
          <w:color w:val="333333"/>
          <w:sz w:val="32"/>
          <w:szCs w:val="32"/>
          <w:shd w:val="clear" w:color="auto" w:fill="FBFDFE"/>
        </w:rPr>
        <w:t>本次</w:t>
      </w:r>
      <w:r>
        <w:rPr>
          <w:rFonts w:hint="eastAsia" w:ascii="仿宋_GB2312" w:hAnsi="仿宋_GB2312" w:eastAsia="仿宋_GB2312" w:cs="仿宋_GB2312"/>
          <w:color w:val="333333"/>
          <w:sz w:val="32"/>
          <w:szCs w:val="32"/>
          <w:shd w:val="clear" w:color="auto" w:fill="FBFDFE"/>
          <w:lang w:eastAsia="zh-CN"/>
        </w:rPr>
        <w:t>转让</w:t>
      </w:r>
      <w:r>
        <w:rPr>
          <w:rFonts w:hint="eastAsia" w:ascii="仿宋_GB2312" w:hAnsi="仿宋_GB2312" w:eastAsia="仿宋_GB2312" w:cs="仿宋_GB2312"/>
          <w:color w:val="333333"/>
          <w:sz w:val="32"/>
          <w:szCs w:val="32"/>
          <w:shd w:val="clear" w:color="auto" w:fill="FBFDFE"/>
        </w:rPr>
        <w:t>项目意向</w:t>
      </w:r>
      <w:r>
        <w:rPr>
          <w:rFonts w:hint="eastAsia" w:ascii="仿宋_GB2312" w:hAnsi="仿宋_GB2312" w:eastAsia="仿宋_GB2312" w:cs="仿宋_GB2312"/>
          <w:color w:val="333333"/>
          <w:sz w:val="32"/>
          <w:szCs w:val="32"/>
          <w:shd w:val="clear" w:color="auto" w:fill="FBFDFE"/>
          <w:lang w:eastAsia="zh-CN"/>
        </w:rPr>
        <w:t>受让</w:t>
      </w:r>
      <w:r>
        <w:rPr>
          <w:rFonts w:hint="eastAsia" w:ascii="仿宋_GB2312" w:hAnsi="仿宋_GB2312" w:eastAsia="仿宋_GB2312" w:cs="仿宋_GB2312"/>
          <w:color w:val="333333"/>
          <w:sz w:val="32"/>
          <w:szCs w:val="32"/>
          <w:shd w:val="clear" w:color="auto" w:fill="FBFDFE"/>
        </w:rPr>
        <w:t>单位报名时，需同时递交</w:t>
      </w:r>
      <w:r>
        <w:rPr>
          <w:rFonts w:hint="eastAsia" w:ascii="仿宋_GB2312" w:hAnsi="仿宋_GB2312" w:eastAsia="仿宋_GB2312" w:cs="仿宋_GB2312"/>
          <w:color w:val="333333"/>
          <w:sz w:val="32"/>
          <w:szCs w:val="32"/>
          <w:shd w:val="clear" w:color="auto" w:fill="FBFDFE"/>
          <w:lang w:eastAsia="zh-CN"/>
        </w:rPr>
        <w:t>转</w:t>
      </w:r>
      <w:r>
        <w:rPr>
          <w:rFonts w:hint="eastAsia" w:ascii="仿宋_GB2312" w:hAnsi="仿宋_GB2312" w:eastAsia="仿宋_GB2312" w:cs="仿宋_GB2312"/>
          <w:color w:val="333333"/>
          <w:sz w:val="32"/>
          <w:szCs w:val="32"/>
          <w:shd w:val="clear" w:color="auto" w:fill="FBFDFE"/>
        </w:rPr>
        <w:t>让方综合评审所需要的材料，具体要求如下：</w:t>
      </w:r>
    </w:p>
    <w:p w14:paraId="70F74B55">
      <w:pPr>
        <w:pStyle w:val="4"/>
        <w:shd w:val="clear" w:color="auto" w:fill="FBFDFE"/>
        <w:spacing w:line="360" w:lineRule="auto"/>
        <w:ind w:firstLine="640" w:firstLineChars="200"/>
        <w:rPr>
          <w:rFonts w:ascii="仿宋_GB2312" w:hAnsi="仿宋_GB2312" w:eastAsia="仿宋_GB2312" w:cs="仿宋_GB2312"/>
          <w:color w:val="333333"/>
          <w:sz w:val="32"/>
          <w:szCs w:val="32"/>
          <w:shd w:val="clear" w:color="auto" w:fill="FBFDFE"/>
        </w:rPr>
      </w:pPr>
      <w:r>
        <w:rPr>
          <w:rFonts w:hint="eastAsia" w:ascii="仿宋_GB2312" w:hAnsi="仿宋_GB2312" w:eastAsia="仿宋_GB2312" w:cs="仿宋_GB2312"/>
          <w:color w:val="333333"/>
          <w:sz w:val="32"/>
          <w:szCs w:val="32"/>
          <w:shd w:val="clear" w:color="auto" w:fill="FBFDFE"/>
        </w:rPr>
        <w:t>1．资信材料（5套）</w:t>
      </w:r>
    </w:p>
    <w:p w14:paraId="5750E61F">
      <w:pPr>
        <w:adjustRightInd w:val="0"/>
        <w:snapToGrid w:val="0"/>
        <w:spacing w:line="360" w:lineRule="auto"/>
        <w:ind w:left="560"/>
        <w:rPr>
          <w:rFonts w:hint="eastAsia" w:ascii="仿宋_GB2312" w:hAnsi="仿宋_GB2312" w:eastAsia="仿宋_GB2312" w:cs="仿宋_GB2312"/>
          <w:color w:val="333333"/>
          <w:sz w:val="32"/>
          <w:szCs w:val="32"/>
          <w:shd w:val="clear" w:color="auto" w:fill="FBFDFE"/>
        </w:rPr>
      </w:pPr>
      <w:r>
        <w:rPr>
          <w:rFonts w:hint="eastAsia" w:ascii="仿宋_GB2312" w:hAnsi="仿宋_GB2312" w:eastAsia="仿宋_GB2312" w:cs="仿宋_GB2312"/>
          <w:color w:val="333333"/>
          <w:sz w:val="32"/>
          <w:szCs w:val="32"/>
          <w:shd w:val="clear" w:color="auto" w:fill="FBFDFE"/>
        </w:rPr>
        <w:t>（1）意向受让方报名时需提供企业营业执照（副本）复</w:t>
      </w:r>
    </w:p>
    <w:p w14:paraId="6987359E">
      <w:pPr>
        <w:adjustRightInd w:val="0"/>
        <w:snapToGrid w:val="0"/>
        <w:spacing w:line="360" w:lineRule="auto"/>
        <w:rPr>
          <w:rFonts w:ascii="仿宋_GB2312" w:hAnsi="仿宋_GB2312" w:eastAsia="仿宋_GB2312" w:cs="仿宋_GB2312"/>
          <w:color w:val="333333"/>
          <w:sz w:val="32"/>
          <w:szCs w:val="32"/>
          <w:shd w:val="clear" w:color="auto" w:fill="FBFDFE"/>
        </w:rPr>
      </w:pPr>
      <w:r>
        <w:rPr>
          <w:rFonts w:hint="eastAsia" w:ascii="仿宋_GB2312" w:hAnsi="仿宋_GB2312" w:eastAsia="仿宋_GB2312" w:cs="仿宋_GB2312"/>
          <w:color w:val="333333"/>
          <w:sz w:val="32"/>
          <w:szCs w:val="32"/>
          <w:shd w:val="clear" w:color="auto" w:fill="FBFDFE"/>
        </w:rPr>
        <w:t>印件、法定代表人的授权委托书原件、法定代表人身份证复印件、被授权人身份证复印件；（注：1.营业</w:t>
      </w:r>
      <w:r>
        <w:rPr>
          <w:rFonts w:hint="eastAsia" w:ascii="仿宋_GB2312" w:hAnsi="仿宋_GB2312" w:eastAsia="仿宋_GB2312" w:cs="仿宋_GB2312"/>
          <w:color w:val="333333"/>
          <w:sz w:val="32"/>
          <w:szCs w:val="32"/>
          <w:highlight w:val="none"/>
          <w:shd w:val="clear" w:color="auto" w:fill="FBFDFE"/>
        </w:rPr>
        <w:t>执照经营范围需包括药品、精制中药饮片、保健品、医用耗材、小型医疗器械及计生用品等；2.上述材料均需加盖公</w:t>
      </w:r>
      <w:r>
        <w:rPr>
          <w:rFonts w:hint="eastAsia" w:ascii="仿宋_GB2312" w:hAnsi="仿宋_GB2312" w:eastAsia="仿宋_GB2312" w:cs="仿宋_GB2312"/>
          <w:color w:val="333333"/>
          <w:sz w:val="32"/>
          <w:szCs w:val="32"/>
          <w:shd w:val="clear" w:color="auto" w:fill="FBFDFE"/>
        </w:rPr>
        <w:t>章）。</w:t>
      </w:r>
    </w:p>
    <w:p w14:paraId="7B53532E">
      <w:pPr>
        <w:pStyle w:val="4"/>
        <w:shd w:val="clear" w:color="auto" w:fill="FBFDFE"/>
        <w:spacing w:line="360" w:lineRule="auto"/>
        <w:ind w:firstLine="640" w:firstLineChars="200"/>
        <w:rPr>
          <w:rFonts w:hint="eastAsia" w:ascii="仿宋_GB2312" w:hAnsi="仿宋_GB2312" w:eastAsia="仿宋_GB2312" w:cs="仿宋_GB2312"/>
          <w:color w:val="333333"/>
          <w:sz w:val="32"/>
          <w:szCs w:val="32"/>
          <w:shd w:val="clear" w:color="auto" w:fill="FBFDFE"/>
        </w:rPr>
      </w:pPr>
      <w:r>
        <w:rPr>
          <w:rFonts w:hint="eastAsia" w:ascii="仿宋_GB2312" w:hAnsi="仿宋_GB2312" w:eastAsia="仿宋_GB2312" w:cs="仿宋_GB2312"/>
          <w:color w:val="333333"/>
          <w:sz w:val="32"/>
          <w:szCs w:val="32"/>
          <w:shd w:val="clear" w:color="auto" w:fill="FBFDFE"/>
        </w:rPr>
        <w:t>（2）意向受让方报名时提供药品经营许可证</w:t>
      </w:r>
      <w:r>
        <w:rPr>
          <w:rFonts w:hint="eastAsia" w:ascii="仿宋" w:hAnsi="仿宋" w:eastAsia="仿宋" w:cs="仿宋"/>
          <w:sz w:val="28"/>
          <w:szCs w:val="36"/>
        </w:rPr>
        <w:t>复印件</w:t>
      </w:r>
      <w:r>
        <w:rPr>
          <w:rFonts w:hint="eastAsia" w:ascii="仿宋_GB2312" w:hAnsi="仿宋_GB2312" w:eastAsia="仿宋_GB2312" w:cs="仿宋_GB2312"/>
          <w:color w:val="333333"/>
          <w:sz w:val="32"/>
          <w:szCs w:val="32"/>
          <w:shd w:val="clear" w:color="auto" w:fill="FBFDFE"/>
        </w:rPr>
        <w:t>、药品经营质量管理规范认证证书</w:t>
      </w:r>
      <w:r>
        <w:rPr>
          <w:rFonts w:hint="eastAsia" w:ascii="仿宋" w:hAnsi="仿宋" w:eastAsia="仿宋" w:cs="仿宋"/>
          <w:sz w:val="28"/>
          <w:szCs w:val="28"/>
        </w:rPr>
        <w:t>复印件</w:t>
      </w:r>
      <w:r>
        <w:rPr>
          <w:rFonts w:hint="eastAsia" w:ascii="仿宋_GB2312" w:hAnsi="仿宋_GB2312" w:eastAsia="仿宋_GB2312" w:cs="仿宋_GB2312"/>
          <w:color w:val="333333"/>
          <w:sz w:val="32"/>
          <w:szCs w:val="32"/>
          <w:shd w:val="clear" w:color="auto" w:fill="FBFDFE"/>
        </w:rPr>
        <w:t>、</w:t>
      </w:r>
      <w:r>
        <w:rPr>
          <w:rFonts w:hint="eastAsia" w:ascii="仿宋" w:hAnsi="仿宋" w:eastAsia="仿宋" w:cs="仿宋"/>
          <w:sz w:val="28"/>
          <w:szCs w:val="28"/>
        </w:rPr>
        <w:t>企业机构代码证复印件、</w:t>
      </w:r>
      <w:r>
        <w:rPr>
          <w:rFonts w:hint="eastAsia" w:ascii="仿宋_GB2312" w:hAnsi="仿宋_GB2312" w:eastAsia="仿宋_GB2312" w:cs="仿宋_GB2312"/>
          <w:color w:val="333333"/>
          <w:sz w:val="32"/>
          <w:szCs w:val="32"/>
          <w:shd w:val="clear" w:color="auto" w:fill="FBFDFE"/>
        </w:rPr>
        <w:t>医用器械经营许可证</w:t>
      </w:r>
      <w:r>
        <w:rPr>
          <w:rFonts w:hint="eastAsia" w:ascii="仿宋" w:hAnsi="仿宋" w:eastAsia="仿宋" w:cs="仿宋"/>
          <w:sz w:val="28"/>
          <w:szCs w:val="28"/>
        </w:rPr>
        <w:t>复印件</w:t>
      </w:r>
      <w:r>
        <w:rPr>
          <w:rFonts w:hint="eastAsia" w:ascii="仿宋_GB2312" w:hAnsi="仿宋_GB2312" w:eastAsia="仿宋_GB2312" w:cs="仿宋_GB2312"/>
          <w:color w:val="333333"/>
          <w:sz w:val="32"/>
          <w:szCs w:val="32"/>
          <w:shd w:val="clear" w:color="auto" w:fill="FBFDFE"/>
        </w:rPr>
        <w:t>、双通道资质。如在报名时不具备双通道资质，须提供承诺书承诺在药店入场后三个月内开通双通道资质。</w:t>
      </w:r>
    </w:p>
    <w:p w14:paraId="03ED386A">
      <w:pPr>
        <w:pStyle w:val="4"/>
        <w:shd w:val="clear" w:color="auto" w:fill="FBFDFE"/>
        <w:spacing w:line="360" w:lineRule="auto"/>
        <w:ind w:firstLine="640" w:firstLineChars="200"/>
        <w:rPr>
          <w:rFonts w:ascii="仿宋_GB2312" w:hAnsi="仿宋_GB2312" w:eastAsia="仿宋_GB2312" w:cs="仿宋_GB2312"/>
          <w:color w:val="333333"/>
          <w:sz w:val="32"/>
          <w:szCs w:val="32"/>
          <w:shd w:val="clear" w:color="auto" w:fill="FBFDFE"/>
        </w:rPr>
      </w:pPr>
      <w:r>
        <w:rPr>
          <w:rFonts w:hint="eastAsia" w:ascii="仿宋_GB2312" w:hAnsi="仿宋_GB2312" w:eastAsia="仿宋_GB2312" w:cs="仿宋_GB2312"/>
          <w:color w:val="333333"/>
          <w:sz w:val="32"/>
          <w:szCs w:val="32"/>
          <w:shd w:val="clear" w:color="auto" w:fill="FBFDFE"/>
        </w:rPr>
        <w:t>（3）如出让方查阅</w:t>
      </w:r>
      <w:r>
        <w:rPr>
          <w:rFonts w:hint="eastAsia" w:ascii="仿宋_GB2312" w:hAnsi="仿宋_GB2312" w:eastAsia="仿宋_GB2312" w:cs="仿宋_GB2312"/>
          <w:color w:val="333333"/>
          <w:sz w:val="32"/>
          <w:szCs w:val="32"/>
          <w:shd w:val="clear" w:color="auto" w:fill="FBFDFE"/>
          <w:lang w:eastAsia="zh-CN"/>
        </w:rPr>
        <w:t>受让</w:t>
      </w:r>
      <w:r>
        <w:rPr>
          <w:rFonts w:hint="eastAsia" w:ascii="仿宋_GB2312" w:hAnsi="仿宋_GB2312" w:eastAsia="仿宋_GB2312" w:cs="仿宋_GB2312"/>
          <w:color w:val="333333"/>
          <w:sz w:val="32"/>
          <w:szCs w:val="32"/>
          <w:shd w:val="clear" w:color="auto" w:fill="FBFDFE"/>
        </w:rPr>
        <w:t>人弄虚作假伪造盖章，则没收保证金并取消</w:t>
      </w:r>
      <w:r>
        <w:rPr>
          <w:rFonts w:hint="eastAsia" w:ascii="仿宋_GB2312" w:hAnsi="仿宋_GB2312" w:eastAsia="仿宋_GB2312" w:cs="仿宋_GB2312"/>
          <w:color w:val="333333"/>
          <w:sz w:val="32"/>
          <w:szCs w:val="32"/>
          <w:shd w:val="clear" w:color="auto" w:fill="FBFDFE"/>
          <w:lang w:eastAsia="zh-CN"/>
        </w:rPr>
        <w:t>受让</w:t>
      </w:r>
      <w:r>
        <w:rPr>
          <w:rFonts w:hint="eastAsia" w:ascii="仿宋_GB2312" w:hAnsi="仿宋_GB2312" w:eastAsia="仿宋_GB2312" w:cs="仿宋_GB2312"/>
          <w:color w:val="333333"/>
          <w:sz w:val="32"/>
          <w:szCs w:val="32"/>
          <w:shd w:val="clear" w:color="auto" w:fill="FBFDFE"/>
        </w:rPr>
        <w:t>资格。</w:t>
      </w:r>
    </w:p>
    <w:p w14:paraId="55F58792">
      <w:pPr>
        <w:pStyle w:val="4"/>
        <w:shd w:val="clear" w:color="auto" w:fill="FBFDFE"/>
        <w:spacing w:line="360" w:lineRule="auto"/>
        <w:ind w:firstLine="640" w:firstLineChars="200"/>
        <w:rPr>
          <w:rFonts w:ascii="仿宋_GB2312" w:hAnsi="仿宋_GB2312" w:eastAsia="仿宋_GB2312" w:cs="仿宋_GB2312"/>
          <w:color w:val="333333"/>
          <w:sz w:val="32"/>
          <w:szCs w:val="32"/>
          <w:shd w:val="clear" w:color="auto" w:fill="FBFDFE"/>
        </w:rPr>
      </w:pPr>
      <w:r>
        <w:rPr>
          <w:rFonts w:hint="eastAsia" w:ascii="仿宋_GB2312" w:hAnsi="仿宋_GB2312" w:eastAsia="仿宋_GB2312" w:cs="仿宋_GB2312"/>
          <w:color w:val="333333"/>
          <w:sz w:val="32"/>
          <w:szCs w:val="32"/>
          <w:shd w:val="clear" w:color="auto" w:fill="FBFDFE"/>
        </w:rPr>
        <w:t>2．承诺材料（5套）</w:t>
      </w:r>
    </w:p>
    <w:p w14:paraId="52CA62CD">
      <w:pPr>
        <w:pStyle w:val="4"/>
        <w:shd w:val="clear" w:color="auto" w:fill="FBFDFE"/>
        <w:spacing w:line="360" w:lineRule="auto"/>
        <w:ind w:firstLine="640" w:firstLineChars="200"/>
        <w:rPr>
          <w:rFonts w:ascii="仿宋_GB2312" w:hAnsi="仿宋_GB2312" w:eastAsia="仿宋_GB2312" w:cs="仿宋_GB2312"/>
          <w:color w:val="333333"/>
          <w:sz w:val="32"/>
          <w:szCs w:val="32"/>
          <w:shd w:val="clear" w:color="auto" w:fill="FBFDFE"/>
        </w:rPr>
      </w:pPr>
      <w:r>
        <w:rPr>
          <w:rFonts w:hint="eastAsia" w:ascii="仿宋_GB2312" w:hAnsi="仿宋_GB2312" w:eastAsia="仿宋_GB2312" w:cs="仿宋_GB2312"/>
          <w:color w:val="333333"/>
          <w:sz w:val="32"/>
          <w:szCs w:val="32"/>
          <w:shd w:val="clear" w:color="auto" w:fill="FBFDFE"/>
        </w:rPr>
        <w:t>承诺主要内容见</w:t>
      </w:r>
      <w:r>
        <w:rPr>
          <w:rFonts w:hint="eastAsia" w:ascii="仿宋_GB2312" w:hAnsi="仿宋_GB2312" w:eastAsia="仿宋_GB2312" w:cs="仿宋_GB2312"/>
          <w:color w:val="333333"/>
          <w:sz w:val="32"/>
          <w:szCs w:val="32"/>
          <w:shd w:val="clear" w:color="auto" w:fill="FBFDFE"/>
          <w:lang w:eastAsia="zh-CN"/>
        </w:rPr>
        <w:t>转让</w:t>
      </w:r>
      <w:r>
        <w:rPr>
          <w:rFonts w:hint="eastAsia" w:ascii="仿宋_GB2312" w:hAnsi="仿宋_GB2312" w:eastAsia="仿宋_GB2312" w:cs="仿宋_GB2312"/>
          <w:color w:val="333333"/>
          <w:sz w:val="32"/>
          <w:szCs w:val="32"/>
          <w:shd w:val="clear" w:color="auto" w:fill="FBFDFE"/>
        </w:rPr>
        <w:t>条件中相关内容。另需同时承诺所提供的综合评审材料真实性，若有任何虚构，愿意承担一切经济法律责任（格式详见附件3，原件盖章）。</w:t>
      </w:r>
    </w:p>
    <w:p w14:paraId="32CED88F">
      <w:pPr>
        <w:pStyle w:val="4"/>
        <w:shd w:val="clear" w:color="auto" w:fill="FBFDFE"/>
        <w:spacing w:line="360" w:lineRule="auto"/>
        <w:ind w:firstLine="640" w:firstLineChars="200"/>
        <w:rPr>
          <w:rFonts w:ascii="仿宋_GB2312" w:hAnsi="仿宋_GB2312" w:eastAsia="仿宋_GB2312" w:cs="仿宋_GB2312"/>
          <w:color w:val="333333"/>
          <w:sz w:val="32"/>
          <w:szCs w:val="32"/>
          <w:highlight w:val="yellow"/>
          <w:shd w:val="clear" w:color="auto" w:fill="FBFDFE"/>
        </w:rPr>
      </w:pPr>
      <w:r>
        <w:rPr>
          <w:rFonts w:hint="eastAsia" w:ascii="仿宋_GB2312" w:hAnsi="仿宋_GB2312" w:eastAsia="仿宋_GB2312" w:cs="仿宋_GB2312"/>
          <w:color w:val="333333"/>
          <w:sz w:val="32"/>
          <w:szCs w:val="32"/>
          <w:shd w:val="clear" w:color="auto" w:fill="FBFDFE"/>
        </w:rPr>
        <w:t>3．门诊二楼药店意向受让方</w:t>
      </w:r>
      <w:r>
        <w:rPr>
          <w:rFonts w:hint="eastAsia" w:ascii="仿宋_GB2312" w:hAnsi="仿宋_GB2312" w:eastAsia="仿宋_GB2312" w:cs="仿宋_GB2312"/>
          <w:color w:val="333333"/>
          <w:sz w:val="32"/>
          <w:szCs w:val="32"/>
          <w:shd w:val="clear" w:color="auto" w:fill="FBFDFE"/>
          <w:lang w:eastAsia="zh-CN"/>
        </w:rPr>
        <w:t>需</w:t>
      </w:r>
      <w:r>
        <w:rPr>
          <w:rFonts w:hint="eastAsia" w:ascii="仿宋_GB2312" w:hAnsi="仿宋_GB2312" w:eastAsia="仿宋_GB2312" w:cs="仿宋_GB2312"/>
          <w:color w:val="333333"/>
          <w:sz w:val="32"/>
          <w:szCs w:val="32"/>
          <w:shd w:val="clear" w:color="auto" w:fill="FBFDFE"/>
        </w:rPr>
        <w:t>提供本项目评分细则要求的案例证明材料、所经营双通道品种证明材料、项目实施方案、配送能力证明材料、应急及安全防控预案、服务保障等证明材料，并加盖公章（详见附件2：综合评分细则）。</w:t>
      </w:r>
    </w:p>
    <w:p w14:paraId="436F75D9">
      <w:pPr>
        <w:pStyle w:val="4"/>
        <w:shd w:val="clear" w:color="auto" w:fill="FBFDFE"/>
        <w:spacing w:line="360" w:lineRule="auto"/>
        <w:ind w:firstLine="643" w:firstLineChars="200"/>
        <w:rPr>
          <w:rFonts w:ascii="仿宋_GB2312" w:hAnsi="仿宋_GB2312" w:eastAsia="仿宋_GB2312" w:cs="仿宋_GB2312"/>
          <w:b/>
          <w:color w:val="333333"/>
          <w:sz w:val="32"/>
          <w:szCs w:val="32"/>
          <w:shd w:val="clear" w:color="auto" w:fill="FBFDFE"/>
        </w:rPr>
      </w:pPr>
      <w:r>
        <w:rPr>
          <w:rFonts w:hint="eastAsia" w:ascii="仿宋_GB2312" w:hAnsi="仿宋_GB2312" w:eastAsia="仿宋_GB2312" w:cs="仿宋_GB2312"/>
          <w:b/>
          <w:color w:val="333333"/>
          <w:sz w:val="32"/>
          <w:szCs w:val="32"/>
          <w:shd w:val="clear" w:color="auto" w:fill="FBFDFE"/>
        </w:rPr>
        <w:t>八、其他需要说明的情况：</w:t>
      </w:r>
    </w:p>
    <w:p w14:paraId="276FC38D">
      <w:pPr>
        <w:pStyle w:val="4"/>
        <w:shd w:val="clear" w:color="auto" w:fill="FBFDFE"/>
        <w:spacing w:line="360" w:lineRule="auto"/>
        <w:ind w:firstLine="640" w:firstLineChars="200"/>
        <w:rPr>
          <w:rFonts w:ascii="仿宋_GB2312" w:hAnsi="仿宋_GB2312" w:eastAsia="仿宋_GB2312" w:cs="仿宋_GB2312"/>
          <w:color w:val="333333"/>
          <w:sz w:val="32"/>
          <w:szCs w:val="32"/>
          <w:shd w:val="clear" w:color="auto" w:fill="FBFDFE"/>
        </w:rPr>
      </w:pPr>
      <w:r>
        <w:rPr>
          <w:rFonts w:hint="eastAsia" w:ascii="仿宋_GB2312" w:hAnsi="仿宋_GB2312" w:eastAsia="仿宋_GB2312" w:cs="仿宋_GB2312"/>
          <w:color w:val="333333"/>
          <w:sz w:val="32"/>
          <w:szCs w:val="32"/>
          <w:shd w:val="clear" w:color="auto" w:fill="FBFDFE"/>
        </w:rPr>
        <w:t>上述综合评审材料，请整理成册后单独密封在文件袋内，在报名时随报名材料一并提交，参与门诊二楼药店的意向受让方在密封文件袋上注明：“南京市溧水区人民医院门诊二楼药店</w:t>
      </w:r>
      <w:r>
        <w:rPr>
          <w:rFonts w:hint="eastAsia" w:ascii="仿宋_GB2312" w:hAnsi="仿宋_GB2312" w:eastAsia="仿宋_GB2312" w:cs="仿宋_GB2312"/>
          <w:color w:val="333333"/>
          <w:sz w:val="32"/>
          <w:szCs w:val="32"/>
          <w:shd w:val="clear" w:color="auto" w:fill="FBFDFE"/>
          <w:lang w:eastAsia="zh-CN"/>
        </w:rPr>
        <w:t>经营权转让</w:t>
      </w:r>
      <w:r>
        <w:rPr>
          <w:rFonts w:hint="eastAsia" w:ascii="仿宋_GB2312" w:hAnsi="仿宋_GB2312" w:eastAsia="仿宋_GB2312" w:cs="仿宋_GB2312"/>
          <w:color w:val="333333"/>
          <w:sz w:val="32"/>
          <w:szCs w:val="32"/>
          <w:shd w:val="clear" w:color="auto" w:fill="FBFDFE"/>
        </w:rPr>
        <w:t>项目综合评审材料”字样以及单位名称、联系人、联系方式等，密封处加盖骑缝公章。</w:t>
      </w:r>
    </w:p>
    <w:p w14:paraId="3C0EF75B">
      <w:pPr>
        <w:pStyle w:val="4"/>
        <w:shd w:val="clear" w:color="auto" w:fill="FBFDFE"/>
        <w:spacing w:line="360" w:lineRule="auto"/>
        <w:ind w:firstLine="640" w:firstLineChars="200"/>
        <w:rPr>
          <w:rFonts w:ascii="仿宋_GB2312" w:hAnsi="仿宋_GB2312" w:eastAsia="仿宋_GB2312" w:cs="仿宋_GB2312"/>
          <w:color w:val="333333"/>
          <w:sz w:val="32"/>
          <w:szCs w:val="32"/>
          <w:shd w:val="clear" w:color="auto" w:fill="FBFDFE"/>
        </w:rPr>
      </w:pPr>
      <w:r>
        <w:rPr>
          <w:rFonts w:hint="eastAsia" w:ascii="仿宋_GB2312" w:hAnsi="仿宋_GB2312" w:eastAsia="仿宋_GB2312" w:cs="仿宋_GB2312"/>
          <w:color w:val="333333"/>
          <w:sz w:val="32"/>
          <w:szCs w:val="32"/>
          <w:shd w:val="clear" w:color="auto" w:fill="FBFDFE"/>
          <w:lang w:eastAsia="zh-CN"/>
        </w:rPr>
        <w:t>方案</w:t>
      </w:r>
      <w:r>
        <w:rPr>
          <w:rFonts w:hint="eastAsia" w:ascii="仿宋_GB2312" w:hAnsi="仿宋_GB2312" w:eastAsia="仿宋_GB2312" w:cs="仿宋_GB2312"/>
          <w:color w:val="333333"/>
          <w:sz w:val="32"/>
          <w:szCs w:val="32"/>
          <w:shd w:val="clear" w:color="auto" w:fill="FBFDFE"/>
        </w:rPr>
        <w:t>内容的解释权（法律法规允许范围内）在南京市溧水区人民医院，意向受让方须在报名前认真阅读并完全理解以上内容，报名后须严格执行，否则承担一切的经济、法律责任。</w:t>
      </w:r>
    </w:p>
    <w:p w14:paraId="6C28E5BE">
      <w:pPr>
        <w:pStyle w:val="4"/>
        <w:shd w:val="clear" w:color="auto" w:fill="FBFDFE"/>
        <w:spacing w:line="360" w:lineRule="auto"/>
        <w:rPr>
          <w:rFonts w:ascii="仿宋_GB2312" w:hAnsi="仿宋_GB2312" w:eastAsia="仿宋_GB2312" w:cs="仿宋_GB2312"/>
          <w:color w:val="333333"/>
          <w:sz w:val="32"/>
          <w:szCs w:val="32"/>
          <w:shd w:val="clear" w:color="auto" w:fill="FBFDFE"/>
        </w:rPr>
      </w:pPr>
    </w:p>
    <w:p w14:paraId="44467CD5">
      <w:pPr>
        <w:pStyle w:val="4"/>
        <w:shd w:val="clear" w:color="auto" w:fill="FBFDFE"/>
        <w:spacing w:line="360" w:lineRule="auto"/>
        <w:ind w:firstLine="640" w:firstLineChars="200"/>
        <w:rPr>
          <w:rFonts w:ascii="仿宋_GB2312" w:hAnsi="仿宋_GB2312" w:eastAsia="仿宋_GB2312" w:cs="仿宋_GB2312"/>
          <w:color w:val="333333"/>
          <w:sz w:val="32"/>
          <w:szCs w:val="32"/>
          <w:shd w:val="clear" w:color="auto" w:fill="FBFDFE"/>
        </w:rPr>
      </w:pPr>
    </w:p>
    <w:p w14:paraId="795A81F1">
      <w:pPr>
        <w:spacing w:line="360" w:lineRule="auto"/>
        <w:jc w:val="right"/>
        <w:rPr>
          <w:rFonts w:ascii="仿宋_GB2312" w:hAnsi="仿宋_GB2312" w:eastAsia="仿宋_GB2312" w:cs="仿宋_GB2312"/>
          <w:color w:val="333333"/>
          <w:kern w:val="0"/>
          <w:sz w:val="32"/>
          <w:szCs w:val="32"/>
          <w:shd w:val="clear" w:color="auto" w:fill="FBFDFE"/>
        </w:rPr>
      </w:pPr>
      <w:r>
        <w:rPr>
          <w:rFonts w:hint="eastAsia" w:ascii="仿宋_GB2312" w:hAnsi="仿宋_GB2312" w:eastAsia="仿宋_GB2312" w:cs="仿宋_GB2312"/>
          <w:color w:val="333333"/>
          <w:kern w:val="0"/>
          <w:sz w:val="32"/>
          <w:szCs w:val="32"/>
          <w:shd w:val="clear" w:color="auto" w:fill="FBFDFE"/>
        </w:rPr>
        <w:t>南京市溧水区人民医院</w:t>
      </w:r>
    </w:p>
    <w:p w14:paraId="140BEF4C">
      <w:pPr>
        <w:spacing w:line="360" w:lineRule="auto"/>
        <w:jc w:val="center"/>
        <w:rPr>
          <w:rFonts w:ascii="仿宋_GB2312" w:hAnsi="仿宋_GB2312" w:eastAsia="仿宋_GB2312" w:cs="仿宋_GB2312"/>
          <w:color w:val="333333"/>
          <w:kern w:val="0"/>
          <w:sz w:val="32"/>
          <w:szCs w:val="32"/>
          <w:shd w:val="clear" w:color="auto" w:fill="FBFDFE"/>
        </w:rPr>
      </w:pPr>
      <w:r>
        <w:rPr>
          <w:rFonts w:hint="eastAsia" w:ascii="仿宋_GB2312" w:hAnsi="仿宋_GB2312" w:eastAsia="仿宋_GB2312" w:cs="仿宋_GB2312"/>
          <w:color w:val="333333"/>
          <w:kern w:val="0"/>
          <w:sz w:val="32"/>
          <w:szCs w:val="32"/>
          <w:shd w:val="clear" w:color="auto" w:fill="FBFDFE"/>
        </w:rPr>
        <w:t xml:space="preserve">                                  2024年11月</w:t>
      </w:r>
      <w:r>
        <w:rPr>
          <w:rFonts w:hint="eastAsia" w:ascii="仿宋_GB2312" w:hAnsi="仿宋_GB2312" w:eastAsia="仿宋_GB2312" w:cs="仿宋_GB2312"/>
          <w:color w:val="333333"/>
          <w:kern w:val="0"/>
          <w:sz w:val="32"/>
          <w:szCs w:val="32"/>
          <w:shd w:val="clear" w:color="auto" w:fill="FBFDFE"/>
          <w:lang w:val="en-US" w:eastAsia="zh-CN"/>
        </w:rPr>
        <w:t>29</w:t>
      </w:r>
      <w:r>
        <w:rPr>
          <w:rFonts w:hint="eastAsia" w:ascii="仿宋_GB2312" w:hAnsi="仿宋_GB2312" w:eastAsia="仿宋_GB2312" w:cs="仿宋_GB2312"/>
          <w:color w:val="333333"/>
          <w:kern w:val="0"/>
          <w:sz w:val="32"/>
          <w:szCs w:val="32"/>
          <w:highlight w:val="none"/>
          <w:shd w:val="clear" w:color="auto" w:fill="FBFDFE"/>
        </w:rPr>
        <w:t>日</w:t>
      </w:r>
    </w:p>
    <w:p w14:paraId="52815E85">
      <w:pPr>
        <w:pStyle w:val="4"/>
        <w:shd w:val="clear" w:color="auto" w:fill="FBFDFE"/>
        <w:tabs>
          <w:tab w:val="left" w:pos="567"/>
        </w:tabs>
        <w:spacing w:line="360" w:lineRule="auto"/>
        <w:rPr>
          <w:rFonts w:hint="eastAsia" w:ascii="仿宋_GB2312" w:hAnsi="仿宋_GB2312" w:eastAsia="仿宋_GB2312" w:cs="仿宋_GB2312"/>
          <w:color w:val="333333"/>
          <w:sz w:val="32"/>
          <w:szCs w:val="32"/>
          <w:shd w:val="clear" w:color="auto" w:fill="FBFDFE"/>
        </w:rPr>
      </w:pPr>
    </w:p>
    <w:p w14:paraId="28A81A58">
      <w:pPr>
        <w:ind w:firstLine="640" w:firstLineChars="200"/>
        <w:rPr>
          <w:rFonts w:hint="eastAsia" w:ascii="仿宋_GB2312" w:hAnsi="仿宋_GB2312" w:eastAsia="仿宋_GB2312" w:cs="仿宋_GB2312"/>
          <w:color w:val="333333"/>
          <w:sz w:val="32"/>
          <w:szCs w:val="32"/>
          <w:shd w:val="clear" w:color="auto" w:fill="FBFDFE"/>
        </w:rPr>
      </w:pPr>
      <w:r>
        <w:rPr>
          <w:rFonts w:hint="eastAsia" w:ascii="仿宋_GB2312" w:hAnsi="仿宋_GB2312" w:eastAsia="仿宋_GB2312" w:cs="仿宋_GB2312"/>
          <w:color w:val="333333"/>
          <w:sz w:val="32"/>
          <w:szCs w:val="32"/>
          <w:shd w:val="clear" w:color="auto" w:fill="FBFDFE"/>
        </w:rPr>
        <w:t>附件：</w:t>
      </w:r>
    </w:p>
    <w:p w14:paraId="778A5EDA">
      <w:pPr>
        <w:numPr>
          <w:ilvl w:val="0"/>
          <w:numId w:val="2"/>
        </w:numPr>
        <w:ind w:firstLine="640" w:firstLineChars="200"/>
        <w:rPr>
          <w:rFonts w:hint="eastAsia" w:ascii="仿宋_GB2312" w:hAnsi="仿宋_GB2312" w:eastAsia="仿宋_GB2312" w:cs="仿宋_GB2312"/>
          <w:color w:val="333333"/>
          <w:kern w:val="0"/>
          <w:sz w:val="32"/>
          <w:szCs w:val="32"/>
          <w:shd w:val="clear" w:color="auto" w:fill="FBFDFE"/>
        </w:rPr>
      </w:pPr>
      <w:r>
        <w:rPr>
          <w:rFonts w:hint="eastAsia" w:ascii="仿宋_GB2312" w:hAnsi="仿宋_GB2312" w:eastAsia="仿宋_GB2312" w:cs="仿宋_GB2312"/>
          <w:color w:val="333333"/>
          <w:kern w:val="0"/>
          <w:sz w:val="32"/>
          <w:szCs w:val="32"/>
          <w:shd w:val="clear" w:color="auto" w:fill="FBFDFE"/>
        </w:rPr>
        <w:t>南京市溧水区人民医院门诊二楼药店年度考核细则</w:t>
      </w:r>
    </w:p>
    <w:p w14:paraId="66054300">
      <w:pPr>
        <w:numPr>
          <w:ilvl w:val="0"/>
          <w:numId w:val="2"/>
        </w:numPr>
        <w:ind w:firstLine="640" w:firstLineChars="200"/>
        <w:rPr>
          <w:rFonts w:hint="eastAsia" w:ascii="仿宋_GB2312" w:hAnsi="仿宋_GB2312" w:eastAsia="仿宋_GB2312" w:cs="仿宋_GB2312"/>
          <w:color w:val="333333"/>
          <w:kern w:val="0"/>
          <w:sz w:val="32"/>
          <w:szCs w:val="32"/>
          <w:shd w:val="clear" w:color="auto" w:fill="FBFDFE"/>
        </w:rPr>
      </w:pPr>
      <w:r>
        <w:rPr>
          <w:rFonts w:hint="eastAsia" w:ascii="仿宋_GB2312" w:hAnsi="仿宋_GB2312" w:eastAsia="仿宋_GB2312" w:cs="仿宋_GB2312"/>
          <w:color w:val="333333"/>
          <w:kern w:val="0"/>
          <w:sz w:val="32"/>
          <w:szCs w:val="32"/>
          <w:shd w:val="clear" w:color="auto" w:fill="FBFDFE"/>
        </w:rPr>
        <w:t>南京市溧水区人民医院门诊二楼药店评分细则</w:t>
      </w:r>
    </w:p>
    <w:p w14:paraId="2BEC97FC">
      <w:pPr>
        <w:numPr>
          <w:ilvl w:val="0"/>
          <w:numId w:val="2"/>
        </w:numPr>
        <w:ind w:firstLine="640" w:firstLineChars="200"/>
        <w:rPr>
          <w:rFonts w:hint="eastAsia" w:ascii="仿宋_GB2312" w:hAnsi="仿宋_GB2312" w:eastAsia="仿宋_GB2312" w:cs="仿宋_GB2312"/>
          <w:color w:val="333333"/>
          <w:kern w:val="0"/>
          <w:sz w:val="32"/>
          <w:szCs w:val="32"/>
          <w:shd w:val="clear" w:color="auto" w:fill="FBFDFE"/>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color w:val="333333"/>
          <w:sz w:val="32"/>
          <w:szCs w:val="32"/>
          <w:shd w:val="clear" w:color="auto" w:fill="FBFDFE"/>
        </w:rPr>
        <w:t>承诺响应采购需求格式（供参考）</w:t>
      </w:r>
    </w:p>
    <w:p w14:paraId="456097E3">
      <w:pPr>
        <w:rPr>
          <w:rFonts w:ascii="仿宋" w:hAnsi="仿宋" w:eastAsia="仿宋"/>
          <w:b/>
          <w:bCs/>
          <w:sz w:val="28"/>
          <w:szCs w:val="28"/>
        </w:rPr>
      </w:pPr>
      <w:r>
        <w:rPr>
          <w:rFonts w:hint="eastAsia" w:ascii="仿宋" w:hAnsi="仿宋" w:eastAsia="仿宋"/>
          <w:b/>
          <w:bCs/>
          <w:sz w:val="28"/>
          <w:szCs w:val="28"/>
        </w:rPr>
        <w:t>附件1：南京市溧水区人民医院门诊二楼药店年度考核细则</w:t>
      </w:r>
    </w:p>
    <w:p w14:paraId="456A72F8">
      <w:pPr>
        <w:jc w:val="left"/>
        <w:rPr>
          <w:rFonts w:ascii="仿宋" w:hAnsi="仿宋" w:eastAsia="仿宋"/>
          <w:b w:val="0"/>
          <w:bCs w:val="0"/>
          <w:sz w:val="24"/>
          <w:szCs w:val="24"/>
        </w:rPr>
      </w:pPr>
      <w:r>
        <w:rPr>
          <w:rFonts w:hint="eastAsia" w:ascii="仿宋" w:hAnsi="仿宋" w:eastAsia="仿宋"/>
          <w:b w:val="0"/>
          <w:bCs w:val="0"/>
          <w:sz w:val="24"/>
          <w:szCs w:val="24"/>
        </w:rPr>
        <w:t>考核人：                      考核日期：</w:t>
      </w:r>
    </w:p>
    <w:tbl>
      <w:tblPr>
        <w:tblStyle w:val="5"/>
        <w:tblW w:w="5468" w:type="pct"/>
        <w:tblInd w:w="-801" w:type="dxa"/>
        <w:tblLayout w:type="fixed"/>
        <w:tblCellMar>
          <w:top w:w="0" w:type="dxa"/>
          <w:left w:w="108" w:type="dxa"/>
          <w:bottom w:w="0" w:type="dxa"/>
          <w:right w:w="108" w:type="dxa"/>
        </w:tblCellMar>
      </w:tblPr>
      <w:tblGrid>
        <w:gridCol w:w="4171"/>
        <w:gridCol w:w="2700"/>
        <w:gridCol w:w="2449"/>
      </w:tblGrid>
      <w:tr w14:paraId="551FE732">
        <w:tblPrEx>
          <w:tblCellMar>
            <w:top w:w="0" w:type="dxa"/>
            <w:left w:w="108" w:type="dxa"/>
            <w:bottom w:w="0" w:type="dxa"/>
            <w:right w:w="108" w:type="dxa"/>
          </w:tblCellMar>
        </w:tblPrEx>
        <w:trPr>
          <w:trHeight w:val="185" w:hRule="atLeast"/>
        </w:trPr>
        <w:tc>
          <w:tcPr>
            <w:tcW w:w="2237" w:type="pct"/>
            <w:tcBorders>
              <w:top w:val="single" w:color="000000" w:sz="4" w:space="0"/>
              <w:left w:val="single" w:color="000000" w:sz="4" w:space="0"/>
              <w:bottom w:val="single" w:color="000000" w:sz="4" w:space="0"/>
              <w:right w:val="single" w:color="000000" w:sz="4" w:space="0"/>
            </w:tcBorders>
            <w:noWrap/>
            <w:vAlign w:val="center"/>
          </w:tcPr>
          <w:p w14:paraId="350E760F">
            <w:pPr>
              <w:widowControl/>
              <w:jc w:val="center"/>
              <w:textAlignment w:val="center"/>
              <w:rPr>
                <w:rFonts w:hint="eastAsia" w:ascii="宋体" w:hAnsi="宋体" w:cs="宋体"/>
                <w:b w:val="0"/>
                <w:bCs w:val="0"/>
                <w:color w:val="000000"/>
                <w:sz w:val="22"/>
                <w:szCs w:val="22"/>
              </w:rPr>
            </w:pPr>
            <w:r>
              <w:rPr>
                <w:rFonts w:hint="eastAsia" w:ascii="宋体" w:hAnsi="宋体" w:cs="宋体"/>
                <w:b w:val="0"/>
                <w:bCs w:val="0"/>
                <w:color w:val="000000"/>
                <w:kern w:val="0"/>
                <w:sz w:val="22"/>
                <w:szCs w:val="22"/>
                <w:lang w:bidi="ar"/>
              </w:rPr>
              <w:t>考核项目</w:t>
            </w:r>
          </w:p>
        </w:tc>
        <w:tc>
          <w:tcPr>
            <w:tcW w:w="1448" w:type="pct"/>
            <w:tcBorders>
              <w:top w:val="single" w:color="000000" w:sz="4" w:space="0"/>
              <w:left w:val="single" w:color="000000" w:sz="4" w:space="0"/>
              <w:bottom w:val="single" w:color="000000" w:sz="4" w:space="0"/>
              <w:right w:val="single" w:color="000000" w:sz="4" w:space="0"/>
            </w:tcBorders>
            <w:noWrap/>
            <w:vAlign w:val="center"/>
          </w:tcPr>
          <w:p w14:paraId="63B0A15E">
            <w:pPr>
              <w:widowControl/>
              <w:jc w:val="center"/>
              <w:textAlignment w:val="center"/>
              <w:rPr>
                <w:rFonts w:hint="eastAsia" w:ascii="宋体" w:hAnsi="宋体" w:cs="宋体"/>
                <w:b w:val="0"/>
                <w:bCs w:val="0"/>
                <w:color w:val="000000"/>
                <w:sz w:val="22"/>
                <w:szCs w:val="22"/>
              </w:rPr>
            </w:pPr>
            <w:r>
              <w:rPr>
                <w:rFonts w:hint="eastAsia" w:ascii="宋体" w:hAnsi="宋体" w:cs="宋体"/>
                <w:b w:val="0"/>
                <w:bCs w:val="0"/>
                <w:color w:val="000000"/>
                <w:kern w:val="0"/>
                <w:sz w:val="22"/>
                <w:szCs w:val="22"/>
                <w:lang w:bidi="ar"/>
              </w:rPr>
              <w:t>指标</w:t>
            </w:r>
          </w:p>
        </w:tc>
        <w:tc>
          <w:tcPr>
            <w:tcW w:w="1313" w:type="pct"/>
            <w:tcBorders>
              <w:top w:val="single" w:color="000000" w:sz="4" w:space="0"/>
              <w:left w:val="single" w:color="000000" w:sz="4" w:space="0"/>
              <w:bottom w:val="single" w:color="000000" w:sz="4" w:space="0"/>
              <w:right w:val="single" w:color="000000" w:sz="4" w:space="0"/>
            </w:tcBorders>
            <w:noWrap/>
            <w:vAlign w:val="center"/>
          </w:tcPr>
          <w:p w14:paraId="0A5D4CCC">
            <w:pPr>
              <w:widowControl/>
              <w:jc w:val="center"/>
              <w:textAlignment w:val="center"/>
              <w:rPr>
                <w:rFonts w:hint="eastAsia" w:ascii="宋体" w:hAnsi="宋体" w:cs="宋体"/>
                <w:b w:val="0"/>
                <w:bCs w:val="0"/>
                <w:color w:val="000000"/>
                <w:sz w:val="22"/>
                <w:szCs w:val="22"/>
              </w:rPr>
            </w:pPr>
            <w:r>
              <w:rPr>
                <w:rFonts w:hint="eastAsia" w:ascii="宋体" w:hAnsi="宋体" w:cs="宋体"/>
                <w:b w:val="0"/>
                <w:bCs w:val="0"/>
                <w:color w:val="000000"/>
                <w:kern w:val="0"/>
                <w:sz w:val="22"/>
                <w:szCs w:val="22"/>
                <w:lang w:bidi="ar"/>
              </w:rPr>
              <w:t>考核结果</w:t>
            </w:r>
          </w:p>
        </w:tc>
      </w:tr>
      <w:tr w14:paraId="64B38526">
        <w:tblPrEx>
          <w:tblCellMar>
            <w:top w:w="0" w:type="dxa"/>
            <w:left w:w="108" w:type="dxa"/>
            <w:bottom w:w="0" w:type="dxa"/>
            <w:right w:w="108" w:type="dxa"/>
          </w:tblCellMar>
        </w:tblPrEx>
        <w:trPr>
          <w:trHeight w:val="90" w:hRule="atLeast"/>
        </w:trPr>
        <w:tc>
          <w:tcPr>
            <w:tcW w:w="2237" w:type="pct"/>
            <w:tcBorders>
              <w:top w:val="single" w:color="000000" w:sz="4" w:space="0"/>
              <w:left w:val="single" w:color="000000" w:sz="4" w:space="0"/>
              <w:bottom w:val="single" w:color="000000" w:sz="4" w:space="0"/>
              <w:right w:val="single" w:color="000000" w:sz="4" w:space="0"/>
            </w:tcBorders>
            <w:noWrap/>
            <w:vAlign w:val="center"/>
          </w:tcPr>
          <w:p w14:paraId="352DB266">
            <w:pPr>
              <w:widowControl/>
              <w:jc w:val="center"/>
              <w:textAlignment w:val="center"/>
              <w:rPr>
                <w:rFonts w:hint="eastAsia" w:ascii="宋体" w:hAnsi="宋体" w:cs="宋体"/>
                <w:b w:val="0"/>
                <w:bCs w:val="0"/>
                <w:color w:val="000000"/>
                <w:sz w:val="22"/>
                <w:szCs w:val="22"/>
              </w:rPr>
            </w:pPr>
            <w:r>
              <w:rPr>
                <w:rFonts w:hint="eastAsia" w:ascii="宋体" w:hAnsi="宋体" w:cs="宋体"/>
                <w:b w:val="0"/>
                <w:bCs w:val="0"/>
                <w:color w:val="000000"/>
                <w:kern w:val="0"/>
                <w:sz w:val="22"/>
                <w:szCs w:val="22"/>
                <w:lang w:bidi="ar"/>
              </w:rPr>
              <w:t>是否具备双通道资质</w:t>
            </w:r>
          </w:p>
        </w:tc>
        <w:tc>
          <w:tcPr>
            <w:tcW w:w="1448" w:type="pct"/>
            <w:tcBorders>
              <w:top w:val="single" w:color="000000" w:sz="4" w:space="0"/>
              <w:left w:val="single" w:color="000000" w:sz="4" w:space="0"/>
              <w:bottom w:val="single" w:color="000000" w:sz="4" w:space="0"/>
              <w:right w:val="single" w:color="000000" w:sz="4" w:space="0"/>
            </w:tcBorders>
            <w:noWrap/>
            <w:vAlign w:val="center"/>
          </w:tcPr>
          <w:p w14:paraId="546112B2">
            <w:pPr>
              <w:widowControl/>
              <w:jc w:val="center"/>
              <w:textAlignment w:val="center"/>
              <w:rPr>
                <w:rFonts w:hint="eastAsia" w:ascii="Wingdings" w:hAnsi="Wingdings" w:cs="Wingdings"/>
                <w:b w:val="0"/>
                <w:bCs w:val="0"/>
                <w:color w:val="000000"/>
                <w:sz w:val="22"/>
                <w:szCs w:val="22"/>
              </w:rPr>
            </w:pPr>
          </w:p>
        </w:tc>
        <w:tc>
          <w:tcPr>
            <w:tcW w:w="1313" w:type="pct"/>
            <w:tcBorders>
              <w:top w:val="single" w:color="000000" w:sz="4" w:space="0"/>
              <w:left w:val="single" w:color="000000" w:sz="4" w:space="0"/>
              <w:bottom w:val="single" w:color="000000" w:sz="4" w:space="0"/>
              <w:right w:val="single" w:color="000000" w:sz="4" w:space="0"/>
            </w:tcBorders>
            <w:noWrap/>
            <w:vAlign w:val="center"/>
          </w:tcPr>
          <w:p w14:paraId="0B942E9F">
            <w:pPr>
              <w:widowControl/>
              <w:jc w:val="center"/>
              <w:textAlignment w:val="center"/>
              <w:rPr>
                <w:rFonts w:hint="eastAsia" w:ascii="Wingdings" w:hAnsi="Wingdings" w:cs="Wingdings"/>
                <w:b w:val="0"/>
                <w:bCs w:val="0"/>
                <w:color w:val="000000"/>
                <w:sz w:val="22"/>
                <w:szCs w:val="22"/>
              </w:rPr>
            </w:pPr>
            <w:r>
              <w:rPr>
                <w:rStyle w:val="7"/>
                <w:b w:val="0"/>
                <w:bCs w:val="0"/>
                <w:lang w:bidi="ar"/>
              </w:rPr>
              <w:t>¨</w:t>
            </w:r>
            <w:r>
              <w:rPr>
                <w:rStyle w:val="8"/>
                <w:rFonts w:hint="default"/>
                <w:b w:val="0"/>
                <w:bCs w:val="0"/>
                <w:lang w:bidi="ar"/>
              </w:rPr>
              <w:t xml:space="preserve">合格   </w:t>
            </w:r>
            <w:r>
              <w:rPr>
                <w:rStyle w:val="7"/>
                <w:b w:val="0"/>
                <w:bCs w:val="0"/>
                <w:lang w:bidi="ar"/>
              </w:rPr>
              <w:t>¨</w:t>
            </w:r>
            <w:r>
              <w:rPr>
                <w:rStyle w:val="8"/>
                <w:rFonts w:hint="default"/>
                <w:b w:val="0"/>
                <w:bCs w:val="0"/>
                <w:lang w:bidi="ar"/>
              </w:rPr>
              <w:t>不合格</w:t>
            </w:r>
          </w:p>
        </w:tc>
      </w:tr>
      <w:tr w14:paraId="4D5C285F">
        <w:tblPrEx>
          <w:tblCellMar>
            <w:top w:w="0" w:type="dxa"/>
            <w:left w:w="108" w:type="dxa"/>
            <w:bottom w:w="0" w:type="dxa"/>
            <w:right w:w="108" w:type="dxa"/>
          </w:tblCellMar>
        </w:tblPrEx>
        <w:trPr>
          <w:trHeight w:val="90" w:hRule="atLeast"/>
        </w:trPr>
        <w:tc>
          <w:tcPr>
            <w:tcW w:w="2237" w:type="pct"/>
            <w:tcBorders>
              <w:top w:val="single" w:color="000000" w:sz="4" w:space="0"/>
              <w:left w:val="single" w:color="000000" w:sz="4" w:space="0"/>
              <w:bottom w:val="single" w:color="000000" w:sz="4" w:space="0"/>
              <w:right w:val="single" w:color="000000" w:sz="4" w:space="0"/>
            </w:tcBorders>
            <w:noWrap/>
            <w:vAlign w:val="center"/>
          </w:tcPr>
          <w:p w14:paraId="513089AF">
            <w:pPr>
              <w:widowControl/>
              <w:jc w:val="center"/>
              <w:textAlignment w:val="center"/>
              <w:rPr>
                <w:rFonts w:hint="eastAsia" w:ascii="宋体" w:hAnsi="宋体" w:cs="宋体"/>
                <w:b w:val="0"/>
                <w:bCs w:val="0"/>
                <w:color w:val="000000"/>
                <w:sz w:val="22"/>
                <w:szCs w:val="22"/>
              </w:rPr>
            </w:pPr>
            <w:r>
              <w:rPr>
                <w:rFonts w:hint="eastAsia" w:ascii="宋体" w:hAnsi="宋体" w:cs="宋体"/>
                <w:b w:val="0"/>
                <w:bCs w:val="0"/>
                <w:color w:val="000000"/>
                <w:kern w:val="0"/>
                <w:sz w:val="22"/>
                <w:szCs w:val="22"/>
                <w:lang w:bidi="ar"/>
              </w:rPr>
              <w:t>双通道药品配备产品数量</w:t>
            </w:r>
          </w:p>
        </w:tc>
        <w:tc>
          <w:tcPr>
            <w:tcW w:w="1448" w:type="pct"/>
            <w:tcBorders>
              <w:top w:val="single" w:color="000000" w:sz="4" w:space="0"/>
              <w:left w:val="single" w:color="000000" w:sz="4" w:space="0"/>
              <w:bottom w:val="single" w:color="000000" w:sz="4" w:space="0"/>
              <w:right w:val="single" w:color="000000" w:sz="4" w:space="0"/>
            </w:tcBorders>
            <w:noWrap/>
            <w:vAlign w:val="center"/>
          </w:tcPr>
          <w:p w14:paraId="4156D9A9">
            <w:pPr>
              <w:widowControl/>
              <w:jc w:val="center"/>
              <w:textAlignment w:val="center"/>
              <w:rPr>
                <w:rFonts w:hint="eastAsia" w:ascii="Wingdings" w:hAnsi="Wingdings" w:cs="Wingdings"/>
                <w:b w:val="0"/>
                <w:bCs w:val="0"/>
                <w:color w:val="000000"/>
                <w:sz w:val="22"/>
                <w:szCs w:val="22"/>
              </w:rPr>
            </w:pPr>
          </w:p>
        </w:tc>
        <w:tc>
          <w:tcPr>
            <w:tcW w:w="1313" w:type="pct"/>
            <w:tcBorders>
              <w:top w:val="single" w:color="000000" w:sz="4" w:space="0"/>
              <w:left w:val="single" w:color="000000" w:sz="4" w:space="0"/>
              <w:bottom w:val="single" w:color="000000" w:sz="4" w:space="0"/>
              <w:right w:val="single" w:color="000000" w:sz="4" w:space="0"/>
            </w:tcBorders>
            <w:noWrap/>
            <w:vAlign w:val="center"/>
          </w:tcPr>
          <w:p w14:paraId="5B1581FD">
            <w:pPr>
              <w:widowControl/>
              <w:jc w:val="center"/>
              <w:textAlignment w:val="center"/>
              <w:rPr>
                <w:rFonts w:hint="eastAsia" w:ascii="Wingdings" w:hAnsi="Wingdings" w:cs="Wingdings"/>
                <w:b w:val="0"/>
                <w:bCs w:val="0"/>
                <w:color w:val="000000"/>
                <w:sz w:val="22"/>
                <w:szCs w:val="22"/>
              </w:rPr>
            </w:pPr>
            <w:r>
              <w:rPr>
                <w:rStyle w:val="7"/>
                <w:b w:val="0"/>
                <w:bCs w:val="0"/>
                <w:lang w:bidi="ar"/>
              </w:rPr>
              <w:t>¨</w:t>
            </w:r>
            <w:r>
              <w:rPr>
                <w:rStyle w:val="8"/>
                <w:rFonts w:hint="default"/>
                <w:b w:val="0"/>
                <w:bCs w:val="0"/>
                <w:lang w:bidi="ar"/>
              </w:rPr>
              <w:t xml:space="preserve">合格   </w:t>
            </w:r>
            <w:r>
              <w:rPr>
                <w:rStyle w:val="7"/>
                <w:b w:val="0"/>
                <w:bCs w:val="0"/>
                <w:lang w:bidi="ar"/>
              </w:rPr>
              <w:t>¨</w:t>
            </w:r>
            <w:r>
              <w:rPr>
                <w:rStyle w:val="8"/>
                <w:rFonts w:hint="default"/>
                <w:b w:val="0"/>
                <w:bCs w:val="0"/>
                <w:lang w:bidi="ar"/>
              </w:rPr>
              <w:t>不合格</w:t>
            </w:r>
          </w:p>
        </w:tc>
      </w:tr>
      <w:tr w14:paraId="3ABF4308">
        <w:tblPrEx>
          <w:tblCellMar>
            <w:top w:w="0" w:type="dxa"/>
            <w:left w:w="108" w:type="dxa"/>
            <w:bottom w:w="0" w:type="dxa"/>
            <w:right w:w="108" w:type="dxa"/>
          </w:tblCellMar>
        </w:tblPrEx>
        <w:trPr>
          <w:trHeight w:val="90" w:hRule="atLeast"/>
        </w:trPr>
        <w:tc>
          <w:tcPr>
            <w:tcW w:w="2237" w:type="pct"/>
            <w:tcBorders>
              <w:top w:val="single" w:color="000000" w:sz="4" w:space="0"/>
              <w:left w:val="single" w:color="000000" w:sz="4" w:space="0"/>
              <w:bottom w:val="single" w:color="000000" w:sz="4" w:space="0"/>
              <w:right w:val="single" w:color="000000" w:sz="4" w:space="0"/>
            </w:tcBorders>
            <w:noWrap/>
            <w:vAlign w:val="center"/>
          </w:tcPr>
          <w:p w14:paraId="7C35187B">
            <w:pPr>
              <w:widowControl/>
              <w:jc w:val="center"/>
              <w:textAlignment w:val="center"/>
              <w:rPr>
                <w:rFonts w:hint="eastAsia" w:ascii="宋体" w:hAnsi="宋体" w:cs="宋体"/>
                <w:b w:val="0"/>
                <w:bCs w:val="0"/>
                <w:color w:val="000000"/>
                <w:sz w:val="22"/>
                <w:szCs w:val="22"/>
              </w:rPr>
            </w:pPr>
            <w:r>
              <w:rPr>
                <w:rFonts w:hint="eastAsia" w:ascii="宋体" w:hAnsi="宋体" w:cs="宋体"/>
                <w:b w:val="0"/>
                <w:bCs w:val="0"/>
                <w:color w:val="000000"/>
                <w:kern w:val="0"/>
                <w:sz w:val="22"/>
                <w:szCs w:val="22"/>
                <w:lang w:bidi="ar"/>
              </w:rPr>
              <w:t>双通道药品配备占比</w:t>
            </w:r>
          </w:p>
        </w:tc>
        <w:tc>
          <w:tcPr>
            <w:tcW w:w="1448" w:type="pct"/>
            <w:tcBorders>
              <w:top w:val="single" w:color="000000" w:sz="4" w:space="0"/>
              <w:left w:val="single" w:color="000000" w:sz="4" w:space="0"/>
              <w:bottom w:val="single" w:color="000000" w:sz="4" w:space="0"/>
              <w:right w:val="single" w:color="000000" w:sz="4" w:space="0"/>
            </w:tcBorders>
            <w:noWrap/>
            <w:vAlign w:val="center"/>
          </w:tcPr>
          <w:p w14:paraId="203FC8B5">
            <w:pPr>
              <w:jc w:val="center"/>
              <w:rPr>
                <w:rFonts w:hint="eastAsia" w:ascii="宋体" w:hAnsi="宋体" w:cs="宋体"/>
                <w:b w:val="0"/>
                <w:bCs w:val="0"/>
                <w:color w:val="000000"/>
                <w:sz w:val="22"/>
                <w:szCs w:val="22"/>
              </w:rPr>
            </w:pPr>
          </w:p>
        </w:tc>
        <w:tc>
          <w:tcPr>
            <w:tcW w:w="1313" w:type="pct"/>
            <w:tcBorders>
              <w:top w:val="single" w:color="000000" w:sz="4" w:space="0"/>
              <w:left w:val="single" w:color="000000" w:sz="4" w:space="0"/>
              <w:bottom w:val="single" w:color="000000" w:sz="4" w:space="0"/>
              <w:right w:val="single" w:color="000000" w:sz="4" w:space="0"/>
            </w:tcBorders>
            <w:noWrap/>
            <w:vAlign w:val="center"/>
          </w:tcPr>
          <w:p w14:paraId="02F56085">
            <w:pPr>
              <w:widowControl/>
              <w:jc w:val="center"/>
              <w:textAlignment w:val="center"/>
              <w:rPr>
                <w:rFonts w:hint="eastAsia" w:ascii="Wingdings" w:hAnsi="Wingdings" w:cs="Wingdings"/>
                <w:b w:val="0"/>
                <w:bCs w:val="0"/>
                <w:color w:val="000000"/>
                <w:sz w:val="22"/>
                <w:szCs w:val="22"/>
              </w:rPr>
            </w:pPr>
            <w:r>
              <w:rPr>
                <w:rStyle w:val="7"/>
                <w:b w:val="0"/>
                <w:bCs w:val="0"/>
                <w:lang w:bidi="ar"/>
              </w:rPr>
              <w:t>¨</w:t>
            </w:r>
            <w:r>
              <w:rPr>
                <w:rStyle w:val="8"/>
                <w:rFonts w:hint="default"/>
                <w:b w:val="0"/>
                <w:bCs w:val="0"/>
                <w:lang w:bidi="ar"/>
              </w:rPr>
              <w:t xml:space="preserve">合格   </w:t>
            </w:r>
            <w:r>
              <w:rPr>
                <w:rStyle w:val="7"/>
                <w:b w:val="0"/>
                <w:bCs w:val="0"/>
                <w:lang w:bidi="ar"/>
              </w:rPr>
              <w:t>¨</w:t>
            </w:r>
            <w:r>
              <w:rPr>
                <w:rStyle w:val="8"/>
                <w:rFonts w:hint="default"/>
                <w:b w:val="0"/>
                <w:bCs w:val="0"/>
                <w:lang w:bidi="ar"/>
              </w:rPr>
              <w:t>不合格</w:t>
            </w:r>
          </w:p>
        </w:tc>
      </w:tr>
      <w:tr w14:paraId="70CE9C00">
        <w:tblPrEx>
          <w:tblCellMar>
            <w:top w:w="0" w:type="dxa"/>
            <w:left w:w="108" w:type="dxa"/>
            <w:bottom w:w="0" w:type="dxa"/>
            <w:right w:w="108" w:type="dxa"/>
          </w:tblCellMar>
        </w:tblPrEx>
        <w:trPr>
          <w:trHeight w:val="90" w:hRule="atLeast"/>
        </w:trPr>
        <w:tc>
          <w:tcPr>
            <w:tcW w:w="2237" w:type="pct"/>
            <w:tcBorders>
              <w:top w:val="single" w:color="000000" w:sz="4" w:space="0"/>
              <w:left w:val="single" w:color="000000" w:sz="4" w:space="0"/>
              <w:bottom w:val="single" w:color="000000" w:sz="4" w:space="0"/>
              <w:right w:val="single" w:color="000000" w:sz="4" w:space="0"/>
            </w:tcBorders>
            <w:noWrap/>
            <w:vAlign w:val="center"/>
          </w:tcPr>
          <w:p w14:paraId="3CA971DA">
            <w:pPr>
              <w:widowControl/>
              <w:jc w:val="center"/>
              <w:textAlignment w:val="center"/>
              <w:rPr>
                <w:rFonts w:hint="eastAsia" w:ascii="宋体" w:hAnsi="宋体" w:cs="宋体"/>
                <w:b w:val="0"/>
                <w:bCs w:val="0"/>
                <w:color w:val="000000"/>
                <w:sz w:val="22"/>
                <w:szCs w:val="22"/>
              </w:rPr>
            </w:pPr>
            <w:r>
              <w:rPr>
                <w:rFonts w:hint="eastAsia" w:ascii="宋体" w:hAnsi="宋体" w:cs="宋体"/>
                <w:b w:val="0"/>
                <w:bCs w:val="0"/>
                <w:color w:val="000000"/>
                <w:kern w:val="0"/>
                <w:sz w:val="22"/>
                <w:szCs w:val="22"/>
                <w:lang w:bidi="ar"/>
              </w:rPr>
              <w:t>药品配送是否及时</w:t>
            </w:r>
          </w:p>
        </w:tc>
        <w:tc>
          <w:tcPr>
            <w:tcW w:w="1448" w:type="pct"/>
            <w:tcBorders>
              <w:top w:val="single" w:color="000000" w:sz="4" w:space="0"/>
              <w:left w:val="single" w:color="000000" w:sz="4" w:space="0"/>
              <w:bottom w:val="single" w:color="000000" w:sz="4" w:space="0"/>
              <w:right w:val="single" w:color="000000" w:sz="4" w:space="0"/>
            </w:tcBorders>
            <w:noWrap/>
            <w:vAlign w:val="center"/>
          </w:tcPr>
          <w:p w14:paraId="16EBF98A">
            <w:pPr>
              <w:jc w:val="center"/>
              <w:rPr>
                <w:rFonts w:hint="eastAsia" w:ascii="宋体" w:hAnsi="宋体" w:cs="宋体"/>
                <w:b w:val="0"/>
                <w:bCs w:val="0"/>
                <w:color w:val="000000"/>
                <w:sz w:val="22"/>
                <w:szCs w:val="22"/>
              </w:rPr>
            </w:pPr>
          </w:p>
        </w:tc>
        <w:tc>
          <w:tcPr>
            <w:tcW w:w="1313" w:type="pct"/>
            <w:tcBorders>
              <w:top w:val="single" w:color="000000" w:sz="4" w:space="0"/>
              <w:left w:val="single" w:color="000000" w:sz="4" w:space="0"/>
              <w:bottom w:val="single" w:color="000000" w:sz="4" w:space="0"/>
              <w:right w:val="single" w:color="000000" w:sz="4" w:space="0"/>
            </w:tcBorders>
            <w:noWrap/>
            <w:vAlign w:val="center"/>
          </w:tcPr>
          <w:p w14:paraId="14DD7638">
            <w:pPr>
              <w:widowControl/>
              <w:jc w:val="center"/>
              <w:textAlignment w:val="center"/>
              <w:rPr>
                <w:rFonts w:hint="eastAsia" w:ascii="Wingdings" w:hAnsi="Wingdings" w:cs="Wingdings"/>
                <w:b w:val="0"/>
                <w:bCs w:val="0"/>
                <w:color w:val="000000"/>
                <w:sz w:val="22"/>
                <w:szCs w:val="22"/>
              </w:rPr>
            </w:pPr>
            <w:r>
              <w:rPr>
                <w:rStyle w:val="7"/>
                <w:b w:val="0"/>
                <w:bCs w:val="0"/>
                <w:lang w:bidi="ar"/>
              </w:rPr>
              <w:t>¨</w:t>
            </w:r>
            <w:r>
              <w:rPr>
                <w:rStyle w:val="8"/>
                <w:rFonts w:hint="default"/>
                <w:b w:val="0"/>
                <w:bCs w:val="0"/>
                <w:lang w:bidi="ar"/>
              </w:rPr>
              <w:t xml:space="preserve">合格   </w:t>
            </w:r>
            <w:r>
              <w:rPr>
                <w:rStyle w:val="7"/>
                <w:b w:val="0"/>
                <w:bCs w:val="0"/>
                <w:lang w:bidi="ar"/>
              </w:rPr>
              <w:t>¨</w:t>
            </w:r>
            <w:r>
              <w:rPr>
                <w:rStyle w:val="8"/>
                <w:rFonts w:hint="default"/>
                <w:b w:val="0"/>
                <w:bCs w:val="0"/>
                <w:lang w:bidi="ar"/>
              </w:rPr>
              <w:t>不合格</w:t>
            </w:r>
          </w:p>
        </w:tc>
      </w:tr>
      <w:tr w14:paraId="579B4F4E">
        <w:tblPrEx>
          <w:tblCellMar>
            <w:top w:w="0" w:type="dxa"/>
            <w:left w:w="108" w:type="dxa"/>
            <w:bottom w:w="0" w:type="dxa"/>
            <w:right w:w="108" w:type="dxa"/>
          </w:tblCellMar>
        </w:tblPrEx>
        <w:trPr>
          <w:trHeight w:val="90" w:hRule="atLeast"/>
        </w:trPr>
        <w:tc>
          <w:tcPr>
            <w:tcW w:w="2237" w:type="pct"/>
            <w:tcBorders>
              <w:top w:val="single" w:color="000000" w:sz="4" w:space="0"/>
              <w:left w:val="single" w:color="000000" w:sz="4" w:space="0"/>
              <w:bottom w:val="single" w:color="000000" w:sz="4" w:space="0"/>
              <w:right w:val="single" w:color="000000" w:sz="4" w:space="0"/>
            </w:tcBorders>
            <w:noWrap/>
            <w:vAlign w:val="center"/>
          </w:tcPr>
          <w:p w14:paraId="3FD9C7F9">
            <w:pPr>
              <w:widowControl/>
              <w:jc w:val="center"/>
              <w:textAlignment w:val="center"/>
              <w:rPr>
                <w:rFonts w:hint="eastAsia" w:ascii="宋体" w:hAnsi="宋体" w:cs="宋体"/>
                <w:b w:val="0"/>
                <w:bCs w:val="0"/>
                <w:color w:val="000000"/>
                <w:sz w:val="22"/>
                <w:szCs w:val="22"/>
              </w:rPr>
            </w:pPr>
            <w:r>
              <w:rPr>
                <w:rFonts w:hint="eastAsia" w:ascii="宋体" w:hAnsi="宋体" w:cs="宋体"/>
                <w:b w:val="0"/>
                <w:bCs w:val="0"/>
                <w:color w:val="000000"/>
                <w:kern w:val="0"/>
                <w:sz w:val="22"/>
                <w:szCs w:val="22"/>
                <w:lang w:bidi="ar"/>
              </w:rPr>
              <w:t>有无超范围经营</w:t>
            </w:r>
          </w:p>
        </w:tc>
        <w:tc>
          <w:tcPr>
            <w:tcW w:w="1448" w:type="pct"/>
            <w:tcBorders>
              <w:top w:val="single" w:color="000000" w:sz="4" w:space="0"/>
              <w:left w:val="single" w:color="000000" w:sz="4" w:space="0"/>
              <w:bottom w:val="single" w:color="000000" w:sz="4" w:space="0"/>
              <w:right w:val="single" w:color="000000" w:sz="4" w:space="0"/>
            </w:tcBorders>
            <w:noWrap/>
            <w:vAlign w:val="center"/>
          </w:tcPr>
          <w:p w14:paraId="7D8A314A">
            <w:pPr>
              <w:widowControl/>
              <w:jc w:val="center"/>
              <w:textAlignment w:val="center"/>
              <w:rPr>
                <w:rFonts w:hint="eastAsia" w:ascii="Wingdings" w:hAnsi="Wingdings" w:cs="Wingdings"/>
                <w:b w:val="0"/>
                <w:bCs w:val="0"/>
                <w:color w:val="000000"/>
                <w:sz w:val="22"/>
                <w:szCs w:val="22"/>
              </w:rPr>
            </w:pPr>
          </w:p>
        </w:tc>
        <w:tc>
          <w:tcPr>
            <w:tcW w:w="1313" w:type="pct"/>
            <w:tcBorders>
              <w:top w:val="single" w:color="000000" w:sz="4" w:space="0"/>
              <w:left w:val="single" w:color="000000" w:sz="4" w:space="0"/>
              <w:bottom w:val="single" w:color="000000" w:sz="4" w:space="0"/>
              <w:right w:val="single" w:color="000000" w:sz="4" w:space="0"/>
            </w:tcBorders>
            <w:noWrap/>
            <w:vAlign w:val="center"/>
          </w:tcPr>
          <w:p w14:paraId="27F82EBB">
            <w:pPr>
              <w:widowControl/>
              <w:jc w:val="center"/>
              <w:textAlignment w:val="center"/>
              <w:rPr>
                <w:rFonts w:hint="eastAsia" w:ascii="Wingdings" w:hAnsi="Wingdings" w:cs="Wingdings"/>
                <w:b w:val="0"/>
                <w:bCs w:val="0"/>
                <w:color w:val="000000"/>
                <w:sz w:val="22"/>
                <w:szCs w:val="22"/>
              </w:rPr>
            </w:pPr>
            <w:r>
              <w:rPr>
                <w:rStyle w:val="7"/>
                <w:b w:val="0"/>
                <w:bCs w:val="0"/>
                <w:lang w:bidi="ar"/>
              </w:rPr>
              <w:t>¨</w:t>
            </w:r>
            <w:r>
              <w:rPr>
                <w:rStyle w:val="8"/>
                <w:rFonts w:hint="default"/>
                <w:b w:val="0"/>
                <w:bCs w:val="0"/>
                <w:lang w:bidi="ar"/>
              </w:rPr>
              <w:t xml:space="preserve">合格   </w:t>
            </w:r>
            <w:r>
              <w:rPr>
                <w:rStyle w:val="7"/>
                <w:b w:val="0"/>
                <w:bCs w:val="0"/>
                <w:lang w:bidi="ar"/>
              </w:rPr>
              <w:t>¨</w:t>
            </w:r>
            <w:r>
              <w:rPr>
                <w:rStyle w:val="8"/>
                <w:rFonts w:hint="default"/>
                <w:b w:val="0"/>
                <w:bCs w:val="0"/>
                <w:lang w:bidi="ar"/>
              </w:rPr>
              <w:t>不合格</w:t>
            </w:r>
          </w:p>
        </w:tc>
      </w:tr>
      <w:tr w14:paraId="0967DFED">
        <w:tblPrEx>
          <w:tblCellMar>
            <w:top w:w="0" w:type="dxa"/>
            <w:left w:w="108" w:type="dxa"/>
            <w:bottom w:w="0" w:type="dxa"/>
            <w:right w:w="108" w:type="dxa"/>
          </w:tblCellMar>
        </w:tblPrEx>
        <w:trPr>
          <w:trHeight w:val="90" w:hRule="atLeast"/>
        </w:trPr>
        <w:tc>
          <w:tcPr>
            <w:tcW w:w="2237" w:type="pct"/>
            <w:tcBorders>
              <w:top w:val="single" w:color="000000" w:sz="4" w:space="0"/>
              <w:left w:val="single" w:color="000000" w:sz="4" w:space="0"/>
              <w:bottom w:val="single" w:color="000000" w:sz="4" w:space="0"/>
              <w:right w:val="single" w:color="000000" w:sz="4" w:space="0"/>
            </w:tcBorders>
            <w:noWrap/>
            <w:vAlign w:val="center"/>
          </w:tcPr>
          <w:p w14:paraId="4BDA3F2A">
            <w:pPr>
              <w:widowControl/>
              <w:jc w:val="center"/>
              <w:textAlignment w:val="center"/>
              <w:rPr>
                <w:rFonts w:hint="eastAsia" w:ascii="宋体" w:hAnsi="宋体" w:cs="宋体"/>
                <w:b w:val="0"/>
                <w:bCs w:val="0"/>
                <w:color w:val="000000"/>
                <w:sz w:val="22"/>
                <w:szCs w:val="22"/>
              </w:rPr>
            </w:pPr>
            <w:r>
              <w:rPr>
                <w:rFonts w:hint="eastAsia" w:ascii="宋体" w:hAnsi="宋体" w:cs="宋体"/>
                <w:b w:val="0"/>
                <w:bCs w:val="0"/>
                <w:color w:val="000000"/>
                <w:kern w:val="0"/>
                <w:sz w:val="22"/>
                <w:szCs w:val="22"/>
                <w:lang w:bidi="ar"/>
              </w:rPr>
              <w:t>是否存在与医院药品目录产品重复现象</w:t>
            </w:r>
          </w:p>
        </w:tc>
        <w:tc>
          <w:tcPr>
            <w:tcW w:w="1448" w:type="pct"/>
            <w:tcBorders>
              <w:top w:val="single" w:color="000000" w:sz="4" w:space="0"/>
              <w:left w:val="single" w:color="000000" w:sz="4" w:space="0"/>
              <w:bottom w:val="single" w:color="000000" w:sz="4" w:space="0"/>
              <w:right w:val="single" w:color="000000" w:sz="4" w:space="0"/>
            </w:tcBorders>
            <w:noWrap/>
            <w:vAlign w:val="center"/>
          </w:tcPr>
          <w:p w14:paraId="3E71109A">
            <w:pPr>
              <w:widowControl/>
              <w:jc w:val="center"/>
              <w:textAlignment w:val="center"/>
              <w:rPr>
                <w:rFonts w:hint="eastAsia" w:ascii="Wingdings" w:hAnsi="Wingdings" w:cs="Wingdings"/>
                <w:b w:val="0"/>
                <w:bCs w:val="0"/>
                <w:color w:val="000000"/>
                <w:sz w:val="22"/>
                <w:szCs w:val="22"/>
              </w:rPr>
            </w:pPr>
          </w:p>
        </w:tc>
        <w:tc>
          <w:tcPr>
            <w:tcW w:w="1313" w:type="pct"/>
            <w:tcBorders>
              <w:top w:val="single" w:color="000000" w:sz="4" w:space="0"/>
              <w:left w:val="single" w:color="000000" w:sz="4" w:space="0"/>
              <w:bottom w:val="single" w:color="000000" w:sz="4" w:space="0"/>
              <w:right w:val="single" w:color="000000" w:sz="4" w:space="0"/>
            </w:tcBorders>
            <w:noWrap/>
            <w:vAlign w:val="center"/>
          </w:tcPr>
          <w:p w14:paraId="13CADF00">
            <w:pPr>
              <w:widowControl/>
              <w:jc w:val="center"/>
              <w:textAlignment w:val="center"/>
              <w:rPr>
                <w:rFonts w:hint="eastAsia" w:ascii="Wingdings" w:hAnsi="Wingdings" w:cs="Wingdings"/>
                <w:b w:val="0"/>
                <w:bCs w:val="0"/>
                <w:color w:val="000000"/>
                <w:sz w:val="22"/>
                <w:szCs w:val="22"/>
              </w:rPr>
            </w:pPr>
            <w:r>
              <w:rPr>
                <w:rStyle w:val="7"/>
                <w:b w:val="0"/>
                <w:bCs w:val="0"/>
                <w:lang w:bidi="ar"/>
              </w:rPr>
              <w:t>¨</w:t>
            </w:r>
            <w:r>
              <w:rPr>
                <w:rStyle w:val="8"/>
                <w:rFonts w:hint="default"/>
                <w:b w:val="0"/>
                <w:bCs w:val="0"/>
                <w:lang w:bidi="ar"/>
              </w:rPr>
              <w:t xml:space="preserve">合格   </w:t>
            </w:r>
            <w:r>
              <w:rPr>
                <w:rStyle w:val="7"/>
                <w:b w:val="0"/>
                <w:bCs w:val="0"/>
                <w:lang w:bidi="ar"/>
              </w:rPr>
              <w:t>¨</w:t>
            </w:r>
            <w:r>
              <w:rPr>
                <w:rStyle w:val="8"/>
                <w:rFonts w:hint="default"/>
                <w:b w:val="0"/>
                <w:bCs w:val="0"/>
                <w:lang w:bidi="ar"/>
              </w:rPr>
              <w:t>不合格</w:t>
            </w:r>
          </w:p>
        </w:tc>
      </w:tr>
      <w:tr w14:paraId="0AA1BE0C">
        <w:tblPrEx>
          <w:tblCellMar>
            <w:top w:w="0" w:type="dxa"/>
            <w:left w:w="108" w:type="dxa"/>
            <w:bottom w:w="0" w:type="dxa"/>
            <w:right w:w="108" w:type="dxa"/>
          </w:tblCellMar>
        </w:tblPrEx>
        <w:trPr>
          <w:trHeight w:val="90" w:hRule="atLeast"/>
        </w:trPr>
        <w:tc>
          <w:tcPr>
            <w:tcW w:w="2237" w:type="pct"/>
            <w:tcBorders>
              <w:top w:val="single" w:color="000000" w:sz="4" w:space="0"/>
              <w:left w:val="single" w:color="000000" w:sz="4" w:space="0"/>
              <w:bottom w:val="single" w:color="000000" w:sz="4" w:space="0"/>
              <w:right w:val="single" w:color="000000" w:sz="4" w:space="0"/>
            </w:tcBorders>
            <w:noWrap/>
            <w:vAlign w:val="center"/>
          </w:tcPr>
          <w:p w14:paraId="32D31D6C">
            <w:pPr>
              <w:widowControl/>
              <w:jc w:val="center"/>
              <w:textAlignment w:val="center"/>
              <w:rPr>
                <w:rFonts w:hint="eastAsia" w:ascii="宋体" w:hAnsi="宋体" w:cs="宋体"/>
                <w:b w:val="0"/>
                <w:bCs w:val="0"/>
                <w:color w:val="000000"/>
                <w:sz w:val="22"/>
                <w:szCs w:val="22"/>
              </w:rPr>
            </w:pPr>
            <w:r>
              <w:rPr>
                <w:rFonts w:hint="eastAsia" w:ascii="宋体" w:hAnsi="宋体" w:cs="宋体"/>
                <w:b w:val="0"/>
                <w:bCs w:val="0"/>
                <w:color w:val="000000"/>
                <w:kern w:val="0"/>
                <w:sz w:val="22"/>
                <w:szCs w:val="22"/>
                <w:lang w:bidi="ar"/>
              </w:rPr>
              <w:t>是否服从医院监管</w:t>
            </w:r>
          </w:p>
        </w:tc>
        <w:tc>
          <w:tcPr>
            <w:tcW w:w="1448" w:type="pct"/>
            <w:tcBorders>
              <w:top w:val="single" w:color="000000" w:sz="4" w:space="0"/>
              <w:left w:val="single" w:color="000000" w:sz="4" w:space="0"/>
              <w:bottom w:val="single" w:color="000000" w:sz="4" w:space="0"/>
              <w:right w:val="single" w:color="000000" w:sz="4" w:space="0"/>
            </w:tcBorders>
            <w:noWrap/>
            <w:vAlign w:val="center"/>
          </w:tcPr>
          <w:p w14:paraId="14A8720F">
            <w:pPr>
              <w:widowControl/>
              <w:jc w:val="center"/>
              <w:textAlignment w:val="center"/>
              <w:rPr>
                <w:rFonts w:hint="eastAsia" w:ascii="Wingdings" w:hAnsi="Wingdings" w:cs="Wingdings"/>
                <w:b w:val="0"/>
                <w:bCs w:val="0"/>
                <w:color w:val="000000"/>
                <w:sz w:val="22"/>
                <w:szCs w:val="22"/>
              </w:rPr>
            </w:pPr>
          </w:p>
        </w:tc>
        <w:tc>
          <w:tcPr>
            <w:tcW w:w="1313" w:type="pct"/>
            <w:tcBorders>
              <w:top w:val="single" w:color="000000" w:sz="4" w:space="0"/>
              <w:left w:val="single" w:color="000000" w:sz="4" w:space="0"/>
              <w:bottom w:val="single" w:color="000000" w:sz="4" w:space="0"/>
              <w:right w:val="single" w:color="000000" w:sz="4" w:space="0"/>
            </w:tcBorders>
            <w:noWrap/>
            <w:vAlign w:val="center"/>
          </w:tcPr>
          <w:p w14:paraId="7CE39F5C">
            <w:pPr>
              <w:widowControl/>
              <w:jc w:val="center"/>
              <w:textAlignment w:val="center"/>
              <w:rPr>
                <w:rFonts w:hint="eastAsia" w:ascii="Wingdings" w:hAnsi="Wingdings" w:cs="Wingdings"/>
                <w:b w:val="0"/>
                <w:bCs w:val="0"/>
                <w:color w:val="000000"/>
                <w:sz w:val="22"/>
                <w:szCs w:val="22"/>
              </w:rPr>
            </w:pPr>
            <w:r>
              <w:rPr>
                <w:rStyle w:val="7"/>
                <w:b w:val="0"/>
                <w:bCs w:val="0"/>
                <w:lang w:bidi="ar"/>
              </w:rPr>
              <w:t>¨</w:t>
            </w:r>
            <w:r>
              <w:rPr>
                <w:rStyle w:val="8"/>
                <w:rFonts w:hint="default"/>
                <w:b w:val="0"/>
                <w:bCs w:val="0"/>
                <w:lang w:bidi="ar"/>
              </w:rPr>
              <w:t xml:space="preserve">合格   </w:t>
            </w:r>
            <w:r>
              <w:rPr>
                <w:rStyle w:val="7"/>
                <w:b w:val="0"/>
                <w:bCs w:val="0"/>
                <w:lang w:bidi="ar"/>
              </w:rPr>
              <w:t>¨</w:t>
            </w:r>
            <w:r>
              <w:rPr>
                <w:rStyle w:val="8"/>
                <w:rFonts w:hint="default"/>
                <w:b w:val="0"/>
                <w:bCs w:val="0"/>
                <w:lang w:bidi="ar"/>
              </w:rPr>
              <w:t>不合格</w:t>
            </w:r>
          </w:p>
        </w:tc>
      </w:tr>
      <w:tr w14:paraId="5CBA501E">
        <w:tblPrEx>
          <w:tblCellMar>
            <w:top w:w="0" w:type="dxa"/>
            <w:left w:w="108" w:type="dxa"/>
            <w:bottom w:w="0" w:type="dxa"/>
            <w:right w:w="108" w:type="dxa"/>
          </w:tblCellMar>
        </w:tblPrEx>
        <w:trPr>
          <w:trHeight w:val="90" w:hRule="atLeast"/>
        </w:trPr>
        <w:tc>
          <w:tcPr>
            <w:tcW w:w="2237" w:type="pct"/>
            <w:tcBorders>
              <w:top w:val="single" w:color="000000" w:sz="4" w:space="0"/>
              <w:left w:val="single" w:color="000000" w:sz="4" w:space="0"/>
              <w:bottom w:val="single" w:color="000000" w:sz="4" w:space="0"/>
              <w:right w:val="single" w:color="000000" w:sz="4" w:space="0"/>
            </w:tcBorders>
            <w:noWrap/>
            <w:vAlign w:val="center"/>
          </w:tcPr>
          <w:p w14:paraId="0EF602D5">
            <w:pPr>
              <w:widowControl/>
              <w:jc w:val="center"/>
              <w:textAlignment w:val="center"/>
              <w:rPr>
                <w:rFonts w:hint="eastAsia" w:ascii="宋体" w:hAnsi="宋体" w:cs="宋体"/>
                <w:b w:val="0"/>
                <w:bCs w:val="0"/>
                <w:color w:val="000000"/>
                <w:sz w:val="22"/>
                <w:szCs w:val="22"/>
              </w:rPr>
            </w:pPr>
            <w:r>
              <w:rPr>
                <w:rFonts w:hint="eastAsia" w:ascii="宋体" w:hAnsi="宋体" w:cs="宋体"/>
                <w:b w:val="0"/>
                <w:bCs w:val="0"/>
                <w:color w:val="000000"/>
                <w:kern w:val="0"/>
                <w:sz w:val="22"/>
                <w:szCs w:val="22"/>
                <w:lang w:bidi="ar"/>
              </w:rPr>
              <w:t>药店工作人员服务态度</w:t>
            </w:r>
          </w:p>
        </w:tc>
        <w:tc>
          <w:tcPr>
            <w:tcW w:w="1448" w:type="pct"/>
            <w:tcBorders>
              <w:top w:val="single" w:color="000000" w:sz="4" w:space="0"/>
              <w:left w:val="single" w:color="000000" w:sz="4" w:space="0"/>
              <w:bottom w:val="single" w:color="000000" w:sz="4" w:space="0"/>
              <w:right w:val="single" w:color="000000" w:sz="4" w:space="0"/>
            </w:tcBorders>
            <w:noWrap/>
            <w:vAlign w:val="center"/>
          </w:tcPr>
          <w:p w14:paraId="20A80C71">
            <w:pPr>
              <w:widowControl/>
              <w:jc w:val="center"/>
              <w:textAlignment w:val="center"/>
              <w:rPr>
                <w:rFonts w:hint="eastAsia" w:ascii="Wingdings" w:hAnsi="Wingdings" w:cs="Wingdings"/>
                <w:b w:val="0"/>
                <w:bCs w:val="0"/>
                <w:color w:val="000000"/>
                <w:sz w:val="22"/>
                <w:szCs w:val="22"/>
              </w:rPr>
            </w:pPr>
          </w:p>
        </w:tc>
        <w:tc>
          <w:tcPr>
            <w:tcW w:w="1313" w:type="pct"/>
            <w:tcBorders>
              <w:top w:val="single" w:color="000000" w:sz="4" w:space="0"/>
              <w:left w:val="single" w:color="000000" w:sz="4" w:space="0"/>
              <w:bottom w:val="single" w:color="000000" w:sz="4" w:space="0"/>
              <w:right w:val="single" w:color="000000" w:sz="4" w:space="0"/>
            </w:tcBorders>
            <w:noWrap/>
            <w:vAlign w:val="center"/>
          </w:tcPr>
          <w:p w14:paraId="15F25680">
            <w:pPr>
              <w:widowControl/>
              <w:jc w:val="center"/>
              <w:textAlignment w:val="center"/>
              <w:rPr>
                <w:rFonts w:hint="eastAsia" w:ascii="Wingdings" w:hAnsi="Wingdings" w:cs="Wingdings"/>
                <w:b w:val="0"/>
                <w:bCs w:val="0"/>
                <w:color w:val="000000"/>
                <w:sz w:val="22"/>
                <w:szCs w:val="22"/>
              </w:rPr>
            </w:pPr>
            <w:r>
              <w:rPr>
                <w:rStyle w:val="7"/>
                <w:b w:val="0"/>
                <w:bCs w:val="0"/>
                <w:lang w:bidi="ar"/>
              </w:rPr>
              <w:t>¨</w:t>
            </w:r>
            <w:r>
              <w:rPr>
                <w:rStyle w:val="8"/>
                <w:rFonts w:hint="default"/>
                <w:b w:val="0"/>
                <w:bCs w:val="0"/>
                <w:lang w:bidi="ar"/>
              </w:rPr>
              <w:t xml:space="preserve">合格   </w:t>
            </w:r>
            <w:r>
              <w:rPr>
                <w:rStyle w:val="7"/>
                <w:b w:val="0"/>
                <w:bCs w:val="0"/>
                <w:lang w:bidi="ar"/>
              </w:rPr>
              <w:t>¨</w:t>
            </w:r>
            <w:r>
              <w:rPr>
                <w:rStyle w:val="8"/>
                <w:rFonts w:hint="default"/>
                <w:b w:val="0"/>
                <w:bCs w:val="0"/>
                <w:lang w:bidi="ar"/>
              </w:rPr>
              <w:t>不合格</w:t>
            </w:r>
          </w:p>
        </w:tc>
      </w:tr>
      <w:tr w14:paraId="67C1A339">
        <w:tblPrEx>
          <w:tblCellMar>
            <w:top w:w="0" w:type="dxa"/>
            <w:left w:w="108" w:type="dxa"/>
            <w:bottom w:w="0" w:type="dxa"/>
            <w:right w:w="108" w:type="dxa"/>
          </w:tblCellMar>
        </w:tblPrEx>
        <w:trPr>
          <w:trHeight w:val="90" w:hRule="atLeast"/>
        </w:trPr>
        <w:tc>
          <w:tcPr>
            <w:tcW w:w="2237" w:type="pct"/>
            <w:tcBorders>
              <w:top w:val="single" w:color="000000" w:sz="4" w:space="0"/>
              <w:left w:val="single" w:color="000000" w:sz="4" w:space="0"/>
              <w:bottom w:val="single" w:color="000000" w:sz="4" w:space="0"/>
              <w:right w:val="single" w:color="000000" w:sz="4" w:space="0"/>
            </w:tcBorders>
            <w:noWrap/>
            <w:vAlign w:val="center"/>
          </w:tcPr>
          <w:p w14:paraId="120030D7">
            <w:pPr>
              <w:widowControl/>
              <w:jc w:val="center"/>
              <w:textAlignment w:val="center"/>
              <w:rPr>
                <w:rFonts w:hint="eastAsia" w:ascii="宋体" w:hAnsi="宋体" w:cs="宋体"/>
                <w:b w:val="0"/>
                <w:bCs w:val="0"/>
                <w:color w:val="000000"/>
                <w:sz w:val="22"/>
                <w:szCs w:val="22"/>
              </w:rPr>
            </w:pPr>
            <w:r>
              <w:rPr>
                <w:rFonts w:hint="eastAsia" w:ascii="宋体" w:hAnsi="宋体" w:cs="宋体"/>
                <w:b w:val="0"/>
                <w:bCs w:val="0"/>
                <w:color w:val="000000"/>
                <w:kern w:val="0"/>
                <w:sz w:val="22"/>
                <w:szCs w:val="22"/>
                <w:lang w:bidi="ar"/>
              </w:rPr>
              <w:t>有无投诉及妥善处理情况</w:t>
            </w:r>
          </w:p>
        </w:tc>
        <w:tc>
          <w:tcPr>
            <w:tcW w:w="1448" w:type="pct"/>
            <w:tcBorders>
              <w:top w:val="single" w:color="000000" w:sz="4" w:space="0"/>
              <w:left w:val="single" w:color="000000" w:sz="4" w:space="0"/>
              <w:bottom w:val="single" w:color="000000" w:sz="4" w:space="0"/>
              <w:right w:val="single" w:color="000000" w:sz="4" w:space="0"/>
            </w:tcBorders>
            <w:noWrap/>
            <w:vAlign w:val="center"/>
          </w:tcPr>
          <w:p w14:paraId="399C23AE">
            <w:pPr>
              <w:widowControl/>
              <w:jc w:val="center"/>
              <w:textAlignment w:val="center"/>
              <w:rPr>
                <w:rFonts w:hint="eastAsia" w:ascii="Wingdings" w:hAnsi="Wingdings" w:cs="Wingdings"/>
                <w:b w:val="0"/>
                <w:bCs w:val="0"/>
                <w:color w:val="000000"/>
                <w:sz w:val="22"/>
                <w:szCs w:val="22"/>
              </w:rPr>
            </w:pPr>
          </w:p>
        </w:tc>
        <w:tc>
          <w:tcPr>
            <w:tcW w:w="1313" w:type="pct"/>
            <w:tcBorders>
              <w:top w:val="single" w:color="000000" w:sz="4" w:space="0"/>
              <w:left w:val="single" w:color="000000" w:sz="4" w:space="0"/>
              <w:bottom w:val="single" w:color="000000" w:sz="4" w:space="0"/>
              <w:right w:val="single" w:color="000000" w:sz="4" w:space="0"/>
            </w:tcBorders>
            <w:noWrap/>
            <w:vAlign w:val="center"/>
          </w:tcPr>
          <w:p w14:paraId="3AF7B27B">
            <w:pPr>
              <w:widowControl/>
              <w:jc w:val="center"/>
              <w:textAlignment w:val="center"/>
              <w:rPr>
                <w:rFonts w:hint="eastAsia" w:ascii="Wingdings" w:hAnsi="Wingdings" w:cs="Wingdings"/>
                <w:b w:val="0"/>
                <w:bCs w:val="0"/>
                <w:color w:val="000000"/>
                <w:sz w:val="22"/>
                <w:szCs w:val="22"/>
              </w:rPr>
            </w:pPr>
            <w:r>
              <w:rPr>
                <w:rStyle w:val="7"/>
                <w:b w:val="0"/>
                <w:bCs w:val="0"/>
                <w:lang w:bidi="ar"/>
              </w:rPr>
              <w:t>¨</w:t>
            </w:r>
            <w:r>
              <w:rPr>
                <w:rStyle w:val="8"/>
                <w:rFonts w:hint="default"/>
                <w:b w:val="0"/>
                <w:bCs w:val="0"/>
                <w:lang w:bidi="ar"/>
              </w:rPr>
              <w:t xml:space="preserve">合格   </w:t>
            </w:r>
            <w:r>
              <w:rPr>
                <w:rStyle w:val="7"/>
                <w:b w:val="0"/>
                <w:bCs w:val="0"/>
                <w:lang w:bidi="ar"/>
              </w:rPr>
              <w:t>¨</w:t>
            </w:r>
            <w:r>
              <w:rPr>
                <w:rStyle w:val="8"/>
                <w:rFonts w:hint="default"/>
                <w:b w:val="0"/>
                <w:bCs w:val="0"/>
                <w:lang w:bidi="ar"/>
              </w:rPr>
              <w:t>不合格</w:t>
            </w:r>
          </w:p>
        </w:tc>
      </w:tr>
      <w:tr w14:paraId="048C4762">
        <w:tblPrEx>
          <w:tblCellMar>
            <w:top w:w="0" w:type="dxa"/>
            <w:left w:w="108" w:type="dxa"/>
            <w:bottom w:w="0" w:type="dxa"/>
            <w:right w:w="108" w:type="dxa"/>
          </w:tblCellMar>
        </w:tblPrEx>
        <w:trPr>
          <w:trHeight w:val="90" w:hRule="atLeast"/>
        </w:trPr>
        <w:tc>
          <w:tcPr>
            <w:tcW w:w="2237" w:type="pct"/>
            <w:tcBorders>
              <w:top w:val="single" w:color="000000" w:sz="4" w:space="0"/>
              <w:left w:val="single" w:color="000000" w:sz="4" w:space="0"/>
              <w:bottom w:val="single" w:color="000000" w:sz="4" w:space="0"/>
              <w:right w:val="single" w:color="000000" w:sz="4" w:space="0"/>
            </w:tcBorders>
            <w:noWrap/>
            <w:vAlign w:val="center"/>
          </w:tcPr>
          <w:p w14:paraId="4EE26143">
            <w:pPr>
              <w:widowControl/>
              <w:jc w:val="center"/>
              <w:textAlignment w:val="center"/>
              <w:rPr>
                <w:rFonts w:hint="eastAsia" w:ascii="宋体" w:hAnsi="宋体" w:cs="宋体"/>
                <w:b w:val="0"/>
                <w:bCs w:val="0"/>
                <w:color w:val="000000"/>
                <w:sz w:val="22"/>
                <w:szCs w:val="22"/>
              </w:rPr>
            </w:pPr>
            <w:r>
              <w:rPr>
                <w:rFonts w:hint="eastAsia" w:ascii="宋体" w:hAnsi="宋体" w:cs="宋体"/>
                <w:b w:val="0"/>
                <w:bCs w:val="0"/>
                <w:color w:val="000000"/>
                <w:kern w:val="0"/>
                <w:sz w:val="22"/>
                <w:szCs w:val="22"/>
                <w:lang w:bidi="ar"/>
              </w:rPr>
              <w:t>药店安全生产情况</w:t>
            </w:r>
          </w:p>
        </w:tc>
        <w:tc>
          <w:tcPr>
            <w:tcW w:w="1448" w:type="pct"/>
            <w:tcBorders>
              <w:top w:val="single" w:color="000000" w:sz="4" w:space="0"/>
              <w:left w:val="single" w:color="000000" w:sz="4" w:space="0"/>
              <w:bottom w:val="single" w:color="000000" w:sz="4" w:space="0"/>
              <w:right w:val="single" w:color="000000" w:sz="4" w:space="0"/>
            </w:tcBorders>
            <w:noWrap/>
            <w:vAlign w:val="center"/>
          </w:tcPr>
          <w:p w14:paraId="15C7C68D">
            <w:pPr>
              <w:widowControl/>
              <w:jc w:val="center"/>
              <w:textAlignment w:val="center"/>
              <w:rPr>
                <w:rFonts w:hint="eastAsia" w:ascii="Wingdings" w:hAnsi="Wingdings" w:cs="Wingdings"/>
                <w:b w:val="0"/>
                <w:bCs w:val="0"/>
                <w:color w:val="000000"/>
                <w:sz w:val="22"/>
                <w:szCs w:val="22"/>
              </w:rPr>
            </w:pPr>
          </w:p>
        </w:tc>
        <w:tc>
          <w:tcPr>
            <w:tcW w:w="1313" w:type="pct"/>
            <w:tcBorders>
              <w:top w:val="single" w:color="000000" w:sz="4" w:space="0"/>
              <w:left w:val="single" w:color="000000" w:sz="4" w:space="0"/>
              <w:bottom w:val="single" w:color="000000" w:sz="4" w:space="0"/>
              <w:right w:val="single" w:color="000000" w:sz="4" w:space="0"/>
            </w:tcBorders>
            <w:noWrap/>
            <w:vAlign w:val="center"/>
          </w:tcPr>
          <w:p w14:paraId="5B838D80">
            <w:pPr>
              <w:widowControl/>
              <w:jc w:val="center"/>
              <w:textAlignment w:val="center"/>
              <w:rPr>
                <w:rFonts w:hint="eastAsia" w:ascii="Wingdings" w:hAnsi="Wingdings" w:cs="Wingdings"/>
                <w:b w:val="0"/>
                <w:bCs w:val="0"/>
                <w:color w:val="000000"/>
                <w:sz w:val="22"/>
                <w:szCs w:val="22"/>
              </w:rPr>
            </w:pPr>
            <w:r>
              <w:rPr>
                <w:rStyle w:val="7"/>
                <w:b w:val="0"/>
                <w:bCs w:val="0"/>
                <w:lang w:bidi="ar"/>
              </w:rPr>
              <w:t>¨</w:t>
            </w:r>
            <w:r>
              <w:rPr>
                <w:rStyle w:val="8"/>
                <w:rFonts w:hint="default"/>
                <w:b w:val="0"/>
                <w:bCs w:val="0"/>
                <w:lang w:bidi="ar"/>
              </w:rPr>
              <w:t xml:space="preserve">合格   </w:t>
            </w:r>
            <w:r>
              <w:rPr>
                <w:rStyle w:val="7"/>
                <w:b w:val="0"/>
                <w:bCs w:val="0"/>
                <w:lang w:bidi="ar"/>
              </w:rPr>
              <w:t>¨</w:t>
            </w:r>
            <w:r>
              <w:rPr>
                <w:rStyle w:val="8"/>
                <w:rFonts w:hint="default"/>
                <w:b w:val="0"/>
                <w:bCs w:val="0"/>
                <w:lang w:bidi="ar"/>
              </w:rPr>
              <w:t>不合格</w:t>
            </w:r>
          </w:p>
        </w:tc>
      </w:tr>
    </w:tbl>
    <w:p w14:paraId="647CE0C5">
      <w:pPr>
        <w:jc w:val="left"/>
        <w:rPr>
          <w:rFonts w:hint="eastAsia"/>
          <w:b w:val="0"/>
          <w:bCs w:val="0"/>
          <w:sz w:val="24"/>
        </w:rPr>
      </w:pPr>
      <w:r>
        <w:rPr>
          <w:rFonts w:hint="eastAsia"/>
          <w:b w:val="0"/>
          <w:bCs w:val="0"/>
          <w:sz w:val="24"/>
        </w:rPr>
        <w:t>备注：9项大于2项不合格考评不通过，医院有权提出终止合同。</w:t>
      </w:r>
    </w:p>
    <w:p w14:paraId="75559715">
      <w:pPr>
        <w:jc w:val="left"/>
        <w:rPr>
          <w:rFonts w:hint="eastAsia"/>
          <w:b w:val="0"/>
          <w:bCs w:val="0"/>
          <w:sz w:val="24"/>
        </w:rPr>
      </w:pPr>
    </w:p>
    <w:p w14:paraId="10C3D98F">
      <w:pPr>
        <w:rPr>
          <w:rFonts w:hint="eastAsia" w:ascii="仿宋" w:hAnsi="仿宋" w:eastAsia="仿宋"/>
          <w:b/>
          <w:bCs/>
          <w:sz w:val="28"/>
          <w:szCs w:val="28"/>
        </w:rPr>
      </w:pPr>
      <w:r>
        <w:rPr>
          <w:rFonts w:hint="eastAsia" w:ascii="仿宋" w:hAnsi="仿宋" w:eastAsia="仿宋"/>
          <w:b/>
          <w:bCs/>
          <w:sz w:val="28"/>
          <w:szCs w:val="28"/>
        </w:rPr>
        <w:t>附件3：承诺响应采购需求格式（供参考）</w:t>
      </w:r>
      <w:bookmarkStart w:id="0" w:name="_GoBack"/>
      <w:bookmarkEnd w:id="0"/>
    </w:p>
    <w:tbl>
      <w:tblPr>
        <w:tblStyle w:val="5"/>
        <w:tblW w:w="99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7"/>
        <w:gridCol w:w="5088"/>
        <w:gridCol w:w="2273"/>
        <w:gridCol w:w="766"/>
      </w:tblGrid>
      <w:tr w14:paraId="049E5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77" w:type="dxa"/>
            <w:noWrap w:val="0"/>
            <w:vAlign w:val="top"/>
          </w:tcPr>
          <w:p w14:paraId="33A2AC46">
            <w:pPr>
              <w:ind w:firstLine="240" w:firstLineChars="100"/>
              <w:jc w:val="center"/>
              <w:rPr>
                <w:rFonts w:ascii="仿宋_GB2312" w:hAnsi="仿宋_GB2312" w:eastAsia="仿宋_GB2312" w:cs="仿宋_GB2312"/>
                <w:color w:val="333333"/>
                <w:sz w:val="24"/>
                <w:shd w:val="clear" w:color="auto" w:fill="FBFDFE"/>
              </w:rPr>
            </w:pPr>
            <w:r>
              <w:rPr>
                <w:rFonts w:hint="eastAsia" w:ascii="仿宋_GB2312" w:hAnsi="仿宋_GB2312" w:eastAsia="仿宋_GB2312" w:cs="仿宋_GB2312"/>
                <w:color w:val="333333"/>
                <w:sz w:val="24"/>
                <w:shd w:val="clear" w:color="auto" w:fill="FBFDFE"/>
              </w:rPr>
              <w:t>招租要求</w:t>
            </w:r>
          </w:p>
        </w:tc>
        <w:tc>
          <w:tcPr>
            <w:tcW w:w="5088" w:type="dxa"/>
            <w:noWrap w:val="0"/>
            <w:vAlign w:val="top"/>
          </w:tcPr>
          <w:p w14:paraId="5453C604">
            <w:pPr>
              <w:pStyle w:val="4"/>
              <w:shd w:val="clear" w:color="auto" w:fill="FBFDFE"/>
              <w:jc w:val="center"/>
              <w:rPr>
                <w:rFonts w:hint="eastAsia" w:ascii="仿宋_GB2312" w:hAnsi="仿宋_GB2312" w:eastAsia="仿宋_GB2312" w:cs="仿宋_GB2312"/>
                <w:color w:val="333333"/>
                <w:shd w:val="clear" w:color="auto" w:fill="FBFDFE"/>
              </w:rPr>
            </w:pPr>
            <w:r>
              <w:rPr>
                <w:rFonts w:hint="eastAsia" w:ascii="仿宋_GB2312" w:hAnsi="仿宋_GB2312" w:eastAsia="仿宋_GB2312" w:cs="仿宋_GB2312"/>
                <w:color w:val="333333"/>
                <w:shd w:val="clear" w:color="auto" w:fill="FBFDFE"/>
              </w:rPr>
              <w:t>招租要求明细</w:t>
            </w:r>
          </w:p>
        </w:tc>
        <w:tc>
          <w:tcPr>
            <w:tcW w:w="2273" w:type="dxa"/>
            <w:noWrap w:val="0"/>
            <w:vAlign w:val="top"/>
          </w:tcPr>
          <w:p w14:paraId="5355F602">
            <w:pPr>
              <w:jc w:val="center"/>
              <w:rPr>
                <w:rFonts w:hint="eastAsia" w:ascii="仿宋_GB2312" w:hAnsi="仿宋_GB2312" w:eastAsia="仿宋_GB2312" w:cs="仿宋_GB2312"/>
                <w:color w:val="333333"/>
                <w:kern w:val="0"/>
                <w:sz w:val="24"/>
                <w:shd w:val="clear" w:color="auto" w:fill="FBFDFE"/>
              </w:rPr>
            </w:pPr>
            <w:r>
              <w:rPr>
                <w:rFonts w:hint="eastAsia" w:ascii="仿宋_GB2312" w:hAnsi="仿宋_GB2312" w:eastAsia="仿宋_GB2312" w:cs="仿宋_GB2312"/>
                <w:color w:val="333333"/>
                <w:kern w:val="0"/>
                <w:sz w:val="24"/>
                <w:shd w:val="clear" w:color="auto" w:fill="FBFDFE"/>
              </w:rPr>
              <w:t>响应情况</w:t>
            </w:r>
          </w:p>
          <w:p w14:paraId="6026969A">
            <w:pPr>
              <w:rPr>
                <w:rFonts w:ascii="仿宋_GB2312" w:hAnsi="仿宋_GB2312" w:eastAsia="仿宋_GB2312" w:cs="仿宋_GB2312"/>
                <w:color w:val="333333"/>
                <w:sz w:val="32"/>
                <w:szCs w:val="32"/>
                <w:shd w:val="clear" w:color="auto" w:fill="FBFDFE"/>
              </w:rPr>
            </w:pPr>
            <w:r>
              <w:rPr>
                <w:rFonts w:hint="eastAsia" w:ascii="仿宋_GB2312" w:hAnsi="仿宋_GB2312" w:eastAsia="仿宋_GB2312" w:cs="仿宋_GB2312"/>
                <w:color w:val="333333"/>
                <w:kern w:val="0"/>
                <w:sz w:val="24"/>
                <w:shd w:val="clear" w:color="auto" w:fill="FBFDFE"/>
              </w:rPr>
              <w:t>（请填写完全响应）</w:t>
            </w:r>
          </w:p>
        </w:tc>
        <w:tc>
          <w:tcPr>
            <w:tcW w:w="766" w:type="dxa"/>
            <w:noWrap w:val="0"/>
            <w:vAlign w:val="top"/>
          </w:tcPr>
          <w:p w14:paraId="00F9A3D0">
            <w:pPr>
              <w:jc w:val="center"/>
              <w:rPr>
                <w:rFonts w:ascii="仿宋_GB2312" w:hAnsi="仿宋_GB2312" w:eastAsia="仿宋_GB2312" w:cs="仿宋_GB2312"/>
                <w:color w:val="333333"/>
                <w:sz w:val="32"/>
                <w:szCs w:val="32"/>
                <w:shd w:val="clear" w:color="auto" w:fill="FBFDFE"/>
              </w:rPr>
            </w:pPr>
            <w:r>
              <w:rPr>
                <w:rFonts w:hint="eastAsia" w:ascii="仿宋_GB2312" w:hAnsi="仿宋_GB2312" w:eastAsia="仿宋_GB2312" w:cs="仿宋_GB2312"/>
                <w:color w:val="333333"/>
                <w:kern w:val="0"/>
                <w:sz w:val="24"/>
                <w:shd w:val="clear" w:color="auto" w:fill="FBFDFE"/>
              </w:rPr>
              <w:t>备注</w:t>
            </w:r>
          </w:p>
        </w:tc>
      </w:tr>
      <w:tr w14:paraId="1E549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7" w:type="dxa"/>
            <w:vMerge w:val="restart"/>
            <w:noWrap w:val="0"/>
            <w:vAlign w:val="top"/>
          </w:tcPr>
          <w:p w14:paraId="3B6A4DE5">
            <w:pPr>
              <w:pStyle w:val="4"/>
              <w:shd w:val="clear" w:color="auto" w:fill="FBFDFE"/>
              <w:jc w:val="center"/>
              <w:rPr>
                <w:rFonts w:hint="eastAsia" w:ascii="仿宋_GB2312" w:hAnsi="仿宋_GB2312" w:eastAsia="仿宋_GB2312" w:cs="仿宋_GB2312"/>
                <w:color w:val="333333"/>
                <w:shd w:val="clear" w:color="auto" w:fill="FBFDFE"/>
              </w:rPr>
            </w:pPr>
          </w:p>
          <w:p w14:paraId="4E06D6AA">
            <w:pPr>
              <w:pStyle w:val="4"/>
              <w:shd w:val="clear" w:color="auto" w:fill="FBFDFE"/>
              <w:jc w:val="center"/>
              <w:rPr>
                <w:rFonts w:hint="eastAsia" w:ascii="仿宋_GB2312" w:hAnsi="仿宋_GB2312" w:eastAsia="仿宋_GB2312" w:cs="仿宋_GB2312"/>
                <w:color w:val="333333"/>
                <w:shd w:val="clear" w:color="auto" w:fill="FBFDFE"/>
              </w:rPr>
            </w:pPr>
          </w:p>
          <w:p w14:paraId="0ED3E767">
            <w:pPr>
              <w:pStyle w:val="4"/>
              <w:shd w:val="clear" w:color="auto" w:fill="FBFDFE"/>
              <w:jc w:val="center"/>
              <w:rPr>
                <w:rFonts w:hint="eastAsia" w:ascii="仿宋_GB2312" w:hAnsi="仿宋_GB2312" w:eastAsia="仿宋_GB2312" w:cs="仿宋_GB2312"/>
                <w:color w:val="333333"/>
                <w:shd w:val="clear" w:color="auto" w:fill="FBFDFE"/>
              </w:rPr>
            </w:pPr>
            <w:r>
              <w:rPr>
                <w:rFonts w:hint="eastAsia" w:ascii="仿宋_GB2312" w:hAnsi="仿宋_GB2312" w:eastAsia="仿宋_GB2312" w:cs="仿宋_GB2312"/>
                <w:color w:val="333333"/>
                <w:shd w:val="clear" w:color="auto" w:fill="FBFDFE"/>
              </w:rPr>
              <w:t>1.受让人管理要求</w:t>
            </w:r>
          </w:p>
          <w:p w14:paraId="180B1FC1">
            <w:pPr>
              <w:rPr>
                <w:rFonts w:ascii="仿宋_GB2312" w:hAnsi="仿宋_GB2312" w:eastAsia="仿宋_GB2312" w:cs="仿宋_GB2312"/>
                <w:color w:val="333333"/>
                <w:sz w:val="24"/>
                <w:shd w:val="clear" w:color="auto" w:fill="FBFDFE"/>
              </w:rPr>
            </w:pPr>
          </w:p>
        </w:tc>
        <w:tc>
          <w:tcPr>
            <w:tcW w:w="5088" w:type="dxa"/>
            <w:noWrap w:val="0"/>
            <w:vAlign w:val="top"/>
          </w:tcPr>
          <w:p w14:paraId="42784936">
            <w:pPr>
              <w:pStyle w:val="4"/>
              <w:shd w:val="clear" w:color="auto" w:fill="FBFDFE"/>
              <w:rPr>
                <w:rFonts w:ascii="仿宋_GB2312" w:hAnsi="仿宋_GB2312" w:eastAsia="仿宋_GB2312" w:cs="仿宋_GB2312"/>
                <w:color w:val="333333"/>
                <w:shd w:val="clear" w:color="auto" w:fill="FBFDFE"/>
              </w:rPr>
            </w:pPr>
            <w:r>
              <w:rPr>
                <w:rFonts w:hint="eastAsia" w:ascii="仿宋_GB2312" w:hAnsi="仿宋_GB2312" w:eastAsia="仿宋_GB2312" w:cs="仿宋_GB2312"/>
                <w:color w:val="333333"/>
                <w:shd w:val="clear" w:color="auto" w:fill="FBFDFE"/>
              </w:rPr>
              <w:t>（1）经营范围  药店独立经营，服从医院监管。经营范围包括药品、精制中药饮片、保健品、医用耗材、小型医疗器械及计生用品等，不得超经营许可证范围经营。</w:t>
            </w:r>
          </w:p>
        </w:tc>
        <w:tc>
          <w:tcPr>
            <w:tcW w:w="2273" w:type="dxa"/>
            <w:noWrap w:val="0"/>
            <w:vAlign w:val="top"/>
          </w:tcPr>
          <w:p w14:paraId="0DF74870">
            <w:pPr>
              <w:rPr>
                <w:rFonts w:ascii="仿宋_GB2312" w:hAnsi="仿宋_GB2312" w:eastAsia="仿宋_GB2312" w:cs="仿宋_GB2312"/>
                <w:color w:val="333333"/>
                <w:sz w:val="32"/>
                <w:szCs w:val="32"/>
                <w:shd w:val="clear" w:color="auto" w:fill="FBFDFE"/>
              </w:rPr>
            </w:pPr>
          </w:p>
        </w:tc>
        <w:tc>
          <w:tcPr>
            <w:tcW w:w="766" w:type="dxa"/>
            <w:noWrap w:val="0"/>
            <w:vAlign w:val="top"/>
          </w:tcPr>
          <w:p w14:paraId="694DA414">
            <w:pPr>
              <w:rPr>
                <w:rFonts w:ascii="仿宋_GB2312" w:hAnsi="仿宋_GB2312" w:eastAsia="仿宋_GB2312" w:cs="仿宋_GB2312"/>
                <w:color w:val="333333"/>
                <w:sz w:val="32"/>
                <w:szCs w:val="32"/>
                <w:shd w:val="clear" w:color="auto" w:fill="FBFDFE"/>
              </w:rPr>
            </w:pPr>
          </w:p>
        </w:tc>
      </w:tr>
      <w:tr w14:paraId="6CC69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7" w:type="dxa"/>
            <w:vMerge w:val="continue"/>
            <w:noWrap w:val="0"/>
            <w:vAlign w:val="top"/>
          </w:tcPr>
          <w:p w14:paraId="2DB49D50">
            <w:pPr>
              <w:rPr>
                <w:rFonts w:ascii="仿宋_GB2312" w:hAnsi="仿宋_GB2312" w:eastAsia="仿宋_GB2312" w:cs="仿宋_GB2312"/>
                <w:color w:val="333333"/>
                <w:sz w:val="24"/>
                <w:shd w:val="clear" w:color="auto" w:fill="FBFDFE"/>
              </w:rPr>
            </w:pPr>
          </w:p>
        </w:tc>
        <w:tc>
          <w:tcPr>
            <w:tcW w:w="5088" w:type="dxa"/>
            <w:noWrap w:val="0"/>
            <w:vAlign w:val="top"/>
          </w:tcPr>
          <w:p w14:paraId="54264E96">
            <w:pPr>
              <w:pStyle w:val="4"/>
              <w:shd w:val="clear" w:color="auto" w:fill="FBFDFE"/>
              <w:rPr>
                <w:rFonts w:ascii="仿宋_GB2312" w:hAnsi="仿宋_GB2312" w:eastAsia="仿宋_GB2312" w:cs="仿宋_GB2312"/>
                <w:color w:val="333333"/>
                <w:shd w:val="clear" w:color="auto" w:fill="FBFDFE"/>
              </w:rPr>
            </w:pPr>
            <w:r>
              <w:rPr>
                <w:rFonts w:hint="eastAsia" w:ascii="仿宋_GB2312" w:hAnsi="仿宋_GB2312" w:eastAsia="仿宋_GB2312" w:cs="仿宋_GB2312"/>
                <w:color w:val="333333"/>
                <w:shd w:val="clear" w:color="auto" w:fill="FBFDFE"/>
              </w:rPr>
              <w:t>（2）药品目录  医院已有同通用名、同厂家的药品，即使规格包装不同，药店不得配备。</w:t>
            </w:r>
          </w:p>
        </w:tc>
        <w:tc>
          <w:tcPr>
            <w:tcW w:w="2273" w:type="dxa"/>
            <w:noWrap w:val="0"/>
            <w:vAlign w:val="top"/>
          </w:tcPr>
          <w:p w14:paraId="07470E75">
            <w:pPr>
              <w:rPr>
                <w:rFonts w:ascii="仿宋_GB2312" w:hAnsi="仿宋_GB2312" w:eastAsia="仿宋_GB2312" w:cs="仿宋_GB2312"/>
                <w:color w:val="333333"/>
                <w:sz w:val="32"/>
                <w:szCs w:val="32"/>
                <w:shd w:val="clear" w:color="auto" w:fill="FBFDFE"/>
              </w:rPr>
            </w:pPr>
          </w:p>
        </w:tc>
        <w:tc>
          <w:tcPr>
            <w:tcW w:w="766" w:type="dxa"/>
            <w:noWrap w:val="0"/>
            <w:vAlign w:val="top"/>
          </w:tcPr>
          <w:p w14:paraId="4FA50021">
            <w:pPr>
              <w:rPr>
                <w:rFonts w:ascii="仿宋_GB2312" w:hAnsi="仿宋_GB2312" w:eastAsia="仿宋_GB2312" w:cs="仿宋_GB2312"/>
                <w:color w:val="333333"/>
                <w:sz w:val="32"/>
                <w:szCs w:val="32"/>
                <w:shd w:val="clear" w:color="auto" w:fill="FBFDFE"/>
              </w:rPr>
            </w:pPr>
          </w:p>
        </w:tc>
      </w:tr>
      <w:tr w14:paraId="58E12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7" w:type="dxa"/>
            <w:vMerge w:val="continue"/>
            <w:noWrap w:val="0"/>
            <w:vAlign w:val="top"/>
          </w:tcPr>
          <w:p w14:paraId="61E75B88">
            <w:pPr>
              <w:rPr>
                <w:rFonts w:ascii="仿宋_GB2312" w:hAnsi="仿宋_GB2312" w:eastAsia="仿宋_GB2312" w:cs="仿宋_GB2312"/>
                <w:color w:val="333333"/>
                <w:sz w:val="24"/>
                <w:shd w:val="clear" w:color="auto" w:fill="FBFDFE"/>
              </w:rPr>
            </w:pPr>
          </w:p>
        </w:tc>
        <w:tc>
          <w:tcPr>
            <w:tcW w:w="5088" w:type="dxa"/>
            <w:noWrap w:val="0"/>
            <w:vAlign w:val="top"/>
          </w:tcPr>
          <w:p w14:paraId="396C5609">
            <w:pPr>
              <w:pStyle w:val="4"/>
              <w:shd w:val="clear" w:color="auto" w:fill="FBFDFE"/>
              <w:rPr>
                <w:rFonts w:hint="eastAsia" w:ascii="仿宋_GB2312" w:hAnsi="仿宋_GB2312" w:eastAsia="仿宋_GB2312" w:cs="仿宋_GB2312"/>
                <w:color w:val="333333"/>
                <w:shd w:val="clear" w:color="auto" w:fill="FBFDFE"/>
              </w:rPr>
            </w:pPr>
            <w:r>
              <w:rPr>
                <w:rFonts w:hint="eastAsia" w:ascii="仿宋_GB2312" w:hAnsi="仿宋_GB2312" w:eastAsia="仿宋_GB2312" w:cs="仿宋_GB2312"/>
                <w:color w:val="333333"/>
                <w:shd w:val="clear" w:color="auto" w:fill="FBFDFE"/>
              </w:rPr>
              <w:t>（3）药品质量  药店经营的药品必须经正规途径采购，质量可靠，同时配备确保药品质量的管理体系，软硬件设施等。</w:t>
            </w:r>
          </w:p>
        </w:tc>
        <w:tc>
          <w:tcPr>
            <w:tcW w:w="2273" w:type="dxa"/>
            <w:noWrap w:val="0"/>
            <w:vAlign w:val="top"/>
          </w:tcPr>
          <w:p w14:paraId="7A47B096">
            <w:pPr>
              <w:rPr>
                <w:rFonts w:ascii="仿宋_GB2312" w:hAnsi="仿宋_GB2312" w:eastAsia="仿宋_GB2312" w:cs="仿宋_GB2312"/>
                <w:color w:val="333333"/>
                <w:sz w:val="32"/>
                <w:szCs w:val="32"/>
                <w:shd w:val="clear" w:color="auto" w:fill="FBFDFE"/>
              </w:rPr>
            </w:pPr>
          </w:p>
        </w:tc>
        <w:tc>
          <w:tcPr>
            <w:tcW w:w="766" w:type="dxa"/>
            <w:noWrap w:val="0"/>
            <w:vAlign w:val="top"/>
          </w:tcPr>
          <w:p w14:paraId="76973F8B">
            <w:pPr>
              <w:rPr>
                <w:rFonts w:ascii="仿宋_GB2312" w:hAnsi="仿宋_GB2312" w:eastAsia="仿宋_GB2312" w:cs="仿宋_GB2312"/>
                <w:color w:val="333333"/>
                <w:sz w:val="32"/>
                <w:szCs w:val="32"/>
                <w:shd w:val="clear" w:color="auto" w:fill="FBFDFE"/>
              </w:rPr>
            </w:pPr>
          </w:p>
        </w:tc>
      </w:tr>
      <w:tr w14:paraId="668AD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7" w:type="dxa"/>
            <w:vMerge w:val="continue"/>
            <w:noWrap w:val="0"/>
            <w:vAlign w:val="top"/>
          </w:tcPr>
          <w:p w14:paraId="3149A5A9">
            <w:pPr>
              <w:rPr>
                <w:rFonts w:ascii="仿宋_GB2312" w:hAnsi="仿宋_GB2312" w:eastAsia="仿宋_GB2312" w:cs="仿宋_GB2312"/>
                <w:color w:val="333333"/>
                <w:sz w:val="24"/>
                <w:shd w:val="clear" w:color="auto" w:fill="FBFDFE"/>
              </w:rPr>
            </w:pPr>
          </w:p>
        </w:tc>
        <w:tc>
          <w:tcPr>
            <w:tcW w:w="5088" w:type="dxa"/>
            <w:noWrap w:val="0"/>
            <w:vAlign w:val="top"/>
          </w:tcPr>
          <w:p w14:paraId="44AE0555">
            <w:pPr>
              <w:pStyle w:val="4"/>
              <w:shd w:val="clear" w:color="auto" w:fill="FBFDFE"/>
              <w:rPr>
                <w:rFonts w:hint="eastAsia" w:ascii="仿宋_GB2312" w:hAnsi="仿宋_GB2312" w:eastAsia="仿宋_GB2312" w:cs="仿宋_GB2312"/>
                <w:color w:val="333333"/>
                <w:shd w:val="clear" w:color="auto" w:fill="FBFDFE"/>
              </w:rPr>
            </w:pPr>
            <w:r>
              <w:rPr>
                <w:rFonts w:hint="eastAsia" w:ascii="仿宋_GB2312" w:hAnsi="仿宋_GB2312" w:eastAsia="仿宋_GB2312" w:cs="仿宋_GB2312"/>
                <w:color w:val="333333"/>
                <w:shd w:val="clear" w:color="auto" w:fill="FBFDFE"/>
              </w:rPr>
              <w:t>（4）药品配送 药品的保供性、及时性、配送的延续性；确保药品保供和配送及时，不得延误患者用药。</w:t>
            </w:r>
          </w:p>
        </w:tc>
        <w:tc>
          <w:tcPr>
            <w:tcW w:w="2273" w:type="dxa"/>
            <w:noWrap w:val="0"/>
            <w:vAlign w:val="top"/>
          </w:tcPr>
          <w:p w14:paraId="736F6CB8">
            <w:pPr>
              <w:rPr>
                <w:rFonts w:ascii="仿宋_GB2312" w:hAnsi="仿宋_GB2312" w:eastAsia="仿宋_GB2312" w:cs="仿宋_GB2312"/>
                <w:color w:val="333333"/>
                <w:sz w:val="32"/>
                <w:szCs w:val="32"/>
                <w:shd w:val="clear" w:color="auto" w:fill="FBFDFE"/>
              </w:rPr>
            </w:pPr>
          </w:p>
        </w:tc>
        <w:tc>
          <w:tcPr>
            <w:tcW w:w="766" w:type="dxa"/>
            <w:noWrap w:val="0"/>
            <w:vAlign w:val="top"/>
          </w:tcPr>
          <w:p w14:paraId="77991512">
            <w:pPr>
              <w:rPr>
                <w:rFonts w:ascii="仿宋_GB2312" w:hAnsi="仿宋_GB2312" w:eastAsia="仿宋_GB2312" w:cs="仿宋_GB2312"/>
                <w:color w:val="333333"/>
                <w:sz w:val="32"/>
                <w:szCs w:val="32"/>
                <w:shd w:val="clear" w:color="auto" w:fill="FBFDFE"/>
              </w:rPr>
            </w:pPr>
          </w:p>
        </w:tc>
      </w:tr>
      <w:tr w14:paraId="02FEE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7" w:type="dxa"/>
            <w:vMerge w:val="continue"/>
            <w:noWrap w:val="0"/>
            <w:vAlign w:val="top"/>
          </w:tcPr>
          <w:p w14:paraId="50DF6B7B">
            <w:pPr>
              <w:rPr>
                <w:rFonts w:ascii="仿宋_GB2312" w:hAnsi="仿宋_GB2312" w:eastAsia="仿宋_GB2312" w:cs="仿宋_GB2312"/>
                <w:color w:val="333333"/>
                <w:sz w:val="24"/>
                <w:shd w:val="clear" w:color="auto" w:fill="FBFDFE"/>
              </w:rPr>
            </w:pPr>
          </w:p>
        </w:tc>
        <w:tc>
          <w:tcPr>
            <w:tcW w:w="5088" w:type="dxa"/>
            <w:noWrap w:val="0"/>
            <w:vAlign w:val="top"/>
          </w:tcPr>
          <w:p w14:paraId="58E3C65B">
            <w:pPr>
              <w:pStyle w:val="4"/>
              <w:shd w:val="clear" w:color="auto" w:fill="FBFDFE"/>
              <w:rPr>
                <w:rFonts w:hint="eastAsia" w:ascii="仿宋_GB2312" w:hAnsi="仿宋_GB2312" w:eastAsia="仿宋_GB2312" w:cs="仿宋_GB2312"/>
                <w:color w:val="333333"/>
                <w:shd w:val="clear" w:color="auto" w:fill="FBFDFE"/>
              </w:rPr>
            </w:pPr>
            <w:r>
              <w:rPr>
                <w:rFonts w:hint="eastAsia" w:ascii="仿宋_GB2312" w:hAnsi="仿宋_GB2312" w:eastAsia="仿宋_GB2312" w:cs="仿宋_GB2312"/>
                <w:color w:val="333333"/>
                <w:shd w:val="clear" w:color="auto" w:fill="FBFDFE"/>
              </w:rPr>
              <w:t>（5）售后服务  提供药品使用咨询服务，提供药品质量问题的处理方案，退换货政策等。</w:t>
            </w:r>
          </w:p>
        </w:tc>
        <w:tc>
          <w:tcPr>
            <w:tcW w:w="2273" w:type="dxa"/>
            <w:noWrap w:val="0"/>
            <w:vAlign w:val="top"/>
          </w:tcPr>
          <w:p w14:paraId="6FA46288">
            <w:pPr>
              <w:rPr>
                <w:rFonts w:ascii="仿宋_GB2312" w:hAnsi="仿宋_GB2312" w:eastAsia="仿宋_GB2312" w:cs="仿宋_GB2312"/>
                <w:color w:val="333333"/>
                <w:sz w:val="32"/>
                <w:szCs w:val="32"/>
                <w:shd w:val="clear" w:color="auto" w:fill="FBFDFE"/>
              </w:rPr>
            </w:pPr>
          </w:p>
        </w:tc>
        <w:tc>
          <w:tcPr>
            <w:tcW w:w="766" w:type="dxa"/>
            <w:noWrap w:val="0"/>
            <w:vAlign w:val="top"/>
          </w:tcPr>
          <w:p w14:paraId="518404BC">
            <w:pPr>
              <w:rPr>
                <w:rFonts w:ascii="仿宋_GB2312" w:hAnsi="仿宋_GB2312" w:eastAsia="仿宋_GB2312" w:cs="仿宋_GB2312"/>
                <w:color w:val="333333"/>
                <w:sz w:val="32"/>
                <w:szCs w:val="32"/>
                <w:shd w:val="clear" w:color="auto" w:fill="FBFDFE"/>
              </w:rPr>
            </w:pPr>
          </w:p>
        </w:tc>
      </w:tr>
      <w:tr w14:paraId="03069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7" w:type="dxa"/>
            <w:vMerge w:val="continue"/>
            <w:noWrap w:val="0"/>
            <w:vAlign w:val="top"/>
          </w:tcPr>
          <w:p w14:paraId="5227E421">
            <w:pPr>
              <w:rPr>
                <w:rFonts w:ascii="仿宋_GB2312" w:hAnsi="仿宋_GB2312" w:eastAsia="仿宋_GB2312" w:cs="仿宋_GB2312"/>
                <w:color w:val="333333"/>
                <w:sz w:val="24"/>
                <w:shd w:val="clear" w:color="auto" w:fill="FBFDFE"/>
              </w:rPr>
            </w:pPr>
          </w:p>
        </w:tc>
        <w:tc>
          <w:tcPr>
            <w:tcW w:w="5088" w:type="dxa"/>
            <w:noWrap w:val="0"/>
            <w:vAlign w:val="top"/>
          </w:tcPr>
          <w:p w14:paraId="6E4CA2B4">
            <w:pPr>
              <w:pStyle w:val="4"/>
              <w:shd w:val="clear" w:color="auto" w:fill="FBFDFE"/>
              <w:rPr>
                <w:rFonts w:hint="eastAsia" w:ascii="仿宋_GB2312" w:hAnsi="仿宋_GB2312" w:eastAsia="仿宋_GB2312" w:cs="仿宋_GB2312"/>
                <w:color w:val="333333"/>
                <w:shd w:val="clear" w:color="auto" w:fill="FBFDFE"/>
              </w:rPr>
            </w:pPr>
            <w:r>
              <w:rPr>
                <w:rFonts w:hint="eastAsia" w:ascii="仿宋_GB2312" w:hAnsi="仿宋_GB2312" w:eastAsia="仿宋_GB2312" w:cs="仿宋_GB2312"/>
                <w:color w:val="333333"/>
                <w:shd w:val="clear" w:color="auto" w:fill="FBFDFE"/>
              </w:rPr>
              <w:t>（6）投诉管理  制定投诉纠纷管理制度，出现投诉积极处理，原则上，不得发生因内部管理问题导致投诉的出现。</w:t>
            </w:r>
          </w:p>
        </w:tc>
        <w:tc>
          <w:tcPr>
            <w:tcW w:w="2273" w:type="dxa"/>
            <w:noWrap w:val="0"/>
            <w:vAlign w:val="top"/>
          </w:tcPr>
          <w:p w14:paraId="0BB26602">
            <w:pPr>
              <w:rPr>
                <w:rFonts w:ascii="仿宋_GB2312" w:hAnsi="仿宋_GB2312" w:eastAsia="仿宋_GB2312" w:cs="仿宋_GB2312"/>
                <w:color w:val="333333"/>
                <w:sz w:val="32"/>
                <w:szCs w:val="32"/>
                <w:shd w:val="clear" w:color="auto" w:fill="FBFDFE"/>
              </w:rPr>
            </w:pPr>
          </w:p>
        </w:tc>
        <w:tc>
          <w:tcPr>
            <w:tcW w:w="766" w:type="dxa"/>
            <w:noWrap w:val="0"/>
            <w:vAlign w:val="top"/>
          </w:tcPr>
          <w:p w14:paraId="16E069D3">
            <w:pPr>
              <w:rPr>
                <w:rFonts w:ascii="仿宋_GB2312" w:hAnsi="仿宋_GB2312" w:eastAsia="仿宋_GB2312" w:cs="仿宋_GB2312"/>
                <w:color w:val="333333"/>
                <w:sz w:val="32"/>
                <w:szCs w:val="32"/>
                <w:shd w:val="clear" w:color="auto" w:fill="FBFDFE"/>
              </w:rPr>
            </w:pPr>
          </w:p>
        </w:tc>
      </w:tr>
      <w:tr w14:paraId="44895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7" w:type="dxa"/>
            <w:vMerge w:val="restart"/>
            <w:noWrap w:val="0"/>
            <w:vAlign w:val="top"/>
          </w:tcPr>
          <w:p w14:paraId="620D7661">
            <w:pPr>
              <w:pStyle w:val="4"/>
              <w:shd w:val="clear" w:color="auto" w:fill="FBFDFE"/>
              <w:jc w:val="center"/>
              <w:rPr>
                <w:rFonts w:hint="eastAsia" w:ascii="仿宋_GB2312" w:hAnsi="仿宋_GB2312" w:eastAsia="仿宋_GB2312" w:cs="仿宋_GB2312"/>
                <w:color w:val="333333"/>
                <w:shd w:val="clear" w:color="auto" w:fill="FBFDFE"/>
              </w:rPr>
            </w:pPr>
          </w:p>
          <w:p w14:paraId="41626BA9">
            <w:pPr>
              <w:pStyle w:val="4"/>
              <w:shd w:val="clear" w:color="auto" w:fill="FBFDFE"/>
              <w:jc w:val="center"/>
              <w:rPr>
                <w:rFonts w:hint="eastAsia" w:ascii="仿宋_GB2312" w:hAnsi="仿宋_GB2312" w:eastAsia="仿宋_GB2312" w:cs="仿宋_GB2312"/>
                <w:color w:val="333333"/>
                <w:shd w:val="clear" w:color="auto" w:fill="FBFDFE"/>
              </w:rPr>
            </w:pPr>
          </w:p>
          <w:p w14:paraId="02A2A4C4">
            <w:pPr>
              <w:pStyle w:val="4"/>
              <w:shd w:val="clear" w:color="auto" w:fill="FBFDFE"/>
              <w:jc w:val="center"/>
              <w:rPr>
                <w:rFonts w:hint="eastAsia" w:ascii="仿宋_GB2312" w:hAnsi="仿宋_GB2312" w:eastAsia="仿宋_GB2312" w:cs="仿宋_GB2312"/>
                <w:color w:val="333333"/>
                <w:shd w:val="clear" w:color="auto" w:fill="FBFDFE"/>
              </w:rPr>
            </w:pPr>
            <w:r>
              <w:rPr>
                <w:rFonts w:hint="eastAsia" w:ascii="仿宋_GB2312" w:hAnsi="仿宋_GB2312" w:eastAsia="仿宋_GB2312" w:cs="仿宋_GB2312"/>
                <w:color w:val="333333"/>
                <w:shd w:val="clear" w:color="auto" w:fill="FBFDFE"/>
              </w:rPr>
              <w:t>2.国谈双通道管理要求</w:t>
            </w:r>
          </w:p>
          <w:p w14:paraId="0D5043E3">
            <w:pPr>
              <w:rPr>
                <w:rFonts w:ascii="仿宋_GB2312" w:hAnsi="仿宋_GB2312" w:eastAsia="仿宋_GB2312" w:cs="仿宋_GB2312"/>
                <w:color w:val="333333"/>
                <w:sz w:val="32"/>
                <w:szCs w:val="32"/>
                <w:shd w:val="clear" w:color="auto" w:fill="FBFDFE"/>
              </w:rPr>
            </w:pPr>
          </w:p>
        </w:tc>
        <w:tc>
          <w:tcPr>
            <w:tcW w:w="5088" w:type="dxa"/>
            <w:noWrap w:val="0"/>
            <w:vAlign w:val="top"/>
          </w:tcPr>
          <w:p w14:paraId="0BB492F5">
            <w:pPr>
              <w:pStyle w:val="4"/>
              <w:shd w:val="clear" w:color="auto" w:fill="FBFDFE"/>
              <w:rPr>
                <w:rFonts w:ascii="仿宋_GB2312" w:hAnsi="仿宋_GB2312" w:eastAsia="仿宋_GB2312" w:cs="仿宋_GB2312"/>
                <w:color w:val="333333"/>
                <w:sz w:val="32"/>
                <w:szCs w:val="32"/>
                <w:shd w:val="clear" w:color="auto" w:fill="FBFDFE"/>
              </w:rPr>
            </w:pPr>
            <w:r>
              <w:rPr>
                <w:rFonts w:hint="eastAsia" w:ascii="仿宋_GB2312" w:hAnsi="仿宋_GB2312" w:eastAsia="仿宋_GB2312" w:cs="仿宋_GB2312"/>
                <w:color w:val="333333"/>
                <w:shd w:val="clear" w:color="auto" w:fill="FBFDFE"/>
              </w:rPr>
              <w:t>（1）为确保国谈药品双通道政策执行，药店需配备一定数量的国谈双通道药品，以满足患者用药需求，并根据医院诊疗需要，及时增加；</w:t>
            </w:r>
          </w:p>
        </w:tc>
        <w:tc>
          <w:tcPr>
            <w:tcW w:w="2273" w:type="dxa"/>
            <w:noWrap w:val="0"/>
            <w:vAlign w:val="top"/>
          </w:tcPr>
          <w:p w14:paraId="6367D182">
            <w:pPr>
              <w:rPr>
                <w:rFonts w:ascii="仿宋_GB2312" w:hAnsi="仿宋_GB2312" w:eastAsia="仿宋_GB2312" w:cs="仿宋_GB2312"/>
                <w:color w:val="333333"/>
                <w:sz w:val="32"/>
                <w:szCs w:val="32"/>
                <w:shd w:val="clear" w:color="auto" w:fill="FBFDFE"/>
              </w:rPr>
            </w:pPr>
          </w:p>
        </w:tc>
        <w:tc>
          <w:tcPr>
            <w:tcW w:w="766" w:type="dxa"/>
            <w:noWrap w:val="0"/>
            <w:vAlign w:val="top"/>
          </w:tcPr>
          <w:p w14:paraId="372163DA">
            <w:pPr>
              <w:rPr>
                <w:rFonts w:ascii="仿宋_GB2312" w:hAnsi="仿宋_GB2312" w:eastAsia="仿宋_GB2312" w:cs="仿宋_GB2312"/>
                <w:color w:val="333333"/>
                <w:sz w:val="32"/>
                <w:szCs w:val="32"/>
                <w:shd w:val="clear" w:color="auto" w:fill="FBFDFE"/>
              </w:rPr>
            </w:pPr>
          </w:p>
        </w:tc>
      </w:tr>
      <w:tr w14:paraId="389DF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7" w:type="dxa"/>
            <w:vMerge w:val="continue"/>
            <w:noWrap w:val="0"/>
            <w:vAlign w:val="top"/>
          </w:tcPr>
          <w:p w14:paraId="592EC9F2">
            <w:pPr>
              <w:rPr>
                <w:rFonts w:ascii="仿宋_GB2312" w:hAnsi="仿宋_GB2312" w:eastAsia="仿宋_GB2312" w:cs="仿宋_GB2312"/>
                <w:color w:val="333333"/>
                <w:sz w:val="32"/>
                <w:szCs w:val="32"/>
                <w:shd w:val="clear" w:color="auto" w:fill="FBFDFE"/>
              </w:rPr>
            </w:pPr>
          </w:p>
        </w:tc>
        <w:tc>
          <w:tcPr>
            <w:tcW w:w="5088" w:type="dxa"/>
            <w:noWrap w:val="0"/>
            <w:vAlign w:val="top"/>
          </w:tcPr>
          <w:p w14:paraId="504171AD">
            <w:pPr>
              <w:pStyle w:val="4"/>
              <w:shd w:val="clear" w:color="auto" w:fill="FBFDFE"/>
              <w:rPr>
                <w:rFonts w:hint="eastAsia" w:ascii="仿宋_GB2312" w:hAnsi="仿宋_GB2312" w:eastAsia="仿宋_GB2312" w:cs="仿宋_GB2312"/>
                <w:color w:val="333333"/>
                <w:shd w:val="clear" w:color="auto" w:fill="FBFDFE"/>
              </w:rPr>
            </w:pPr>
            <w:r>
              <w:rPr>
                <w:rFonts w:hint="eastAsia" w:ascii="仿宋_GB2312" w:hAnsi="仿宋_GB2312" w:eastAsia="仿宋_GB2312" w:cs="仿宋_GB2312"/>
                <w:color w:val="333333"/>
                <w:shd w:val="clear" w:color="auto" w:fill="FBFDFE"/>
              </w:rPr>
              <w:t>（2）不具备双通道资质的，在药店入场后三个月内积极申请开通双通道资质</w:t>
            </w:r>
            <w:r>
              <w:rPr>
                <w:rFonts w:hint="eastAsia" w:ascii="仿宋_GB2312" w:hAnsi="仿宋_GB2312" w:eastAsia="仿宋_GB2312" w:cs="仿宋_GB2312"/>
                <w:color w:val="333333"/>
                <w:shd w:val="clear" w:color="auto" w:fill="FBFDFE"/>
                <w:lang w:eastAsia="zh-CN"/>
              </w:rPr>
              <w:t>，</w:t>
            </w:r>
            <w:r>
              <w:rPr>
                <w:rFonts w:hint="eastAsia" w:ascii="仿宋_GB2312" w:hAnsi="仿宋_GB2312" w:eastAsia="仿宋_GB2312" w:cs="仿宋_GB2312"/>
                <w:color w:val="333333"/>
                <w:shd w:val="clear" w:color="auto" w:fill="FBFDFE"/>
              </w:rPr>
              <w:t>已有的可注明目前具备。</w:t>
            </w:r>
          </w:p>
        </w:tc>
        <w:tc>
          <w:tcPr>
            <w:tcW w:w="2273" w:type="dxa"/>
            <w:noWrap w:val="0"/>
            <w:vAlign w:val="top"/>
          </w:tcPr>
          <w:p w14:paraId="40EA50EF">
            <w:pPr>
              <w:rPr>
                <w:rFonts w:ascii="仿宋_GB2312" w:hAnsi="仿宋_GB2312" w:eastAsia="仿宋_GB2312" w:cs="仿宋_GB2312"/>
                <w:color w:val="333333"/>
                <w:sz w:val="32"/>
                <w:szCs w:val="32"/>
                <w:shd w:val="clear" w:color="auto" w:fill="FBFDFE"/>
              </w:rPr>
            </w:pPr>
          </w:p>
        </w:tc>
        <w:tc>
          <w:tcPr>
            <w:tcW w:w="766" w:type="dxa"/>
            <w:noWrap w:val="0"/>
            <w:vAlign w:val="top"/>
          </w:tcPr>
          <w:p w14:paraId="16AB87C1">
            <w:pPr>
              <w:rPr>
                <w:rFonts w:ascii="仿宋_GB2312" w:hAnsi="仿宋_GB2312" w:eastAsia="仿宋_GB2312" w:cs="仿宋_GB2312"/>
                <w:color w:val="333333"/>
                <w:sz w:val="32"/>
                <w:szCs w:val="32"/>
                <w:shd w:val="clear" w:color="auto" w:fill="FBFDFE"/>
              </w:rPr>
            </w:pPr>
          </w:p>
        </w:tc>
      </w:tr>
      <w:tr w14:paraId="4C61C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7" w:type="dxa"/>
            <w:vMerge w:val="restart"/>
            <w:noWrap w:val="0"/>
            <w:vAlign w:val="top"/>
          </w:tcPr>
          <w:p w14:paraId="685C5460">
            <w:pPr>
              <w:rPr>
                <w:rFonts w:hint="eastAsia" w:ascii="仿宋_GB2312" w:hAnsi="仿宋_GB2312" w:eastAsia="仿宋_GB2312" w:cs="仿宋_GB2312"/>
                <w:color w:val="333333"/>
                <w:kern w:val="0"/>
                <w:sz w:val="24"/>
                <w:shd w:val="clear" w:color="auto" w:fill="FBFDFE"/>
              </w:rPr>
            </w:pPr>
          </w:p>
          <w:p w14:paraId="6D229E72">
            <w:pPr>
              <w:rPr>
                <w:rFonts w:hint="eastAsia" w:ascii="仿宋_GB2312" w:hAnsi="仿宋_GB2312" w:eastAsia="仿宋_GB2312" w:cs="仿宋_GB2312"/>
                <w:color w:val="333333"/>
                <w:kern w:val="0"/>
                <w:sz w:val="24"/>
                <w:shd w:val="clear" w:color="auto" w:fill="FBFDFE"/>
              </w:rPr>
            </w:pPr>
          </w:p>
          <w:p w14:paraId="1B18DFE6">
            <w:pPr>
              <w:rPr>
                <w:rFonts w:ascii="仿宋_GB2312" w:hAnsi="仿宋_GB2312" w:eastAsia="仿宋_GB2312" w:cs="仿宋_GB2312"/>
                <w:color w:val="333333"/>
                <w:sz w:val="32"/>
                <w:szCs w:val="32"/>
                <w:shd w:val="clear" w:color="auto" w:fill="FBFDFE"/>
              </w:rPr>
            </w:pPr>
            <w:r>
              <w:rPr>
                <w:rFonts w:hint="eastAsia" w:ascii="仿宋_GB2312" w:hAnsi="仿宋_GB2312" w:eastAsia="仿宋_GB2312" w:cs="仿宋_GB2312"/>
                <w:color w:val="333333"/>
                <w:kern w:val="0"/>
                <w:sz w:val="24"/>
                <w:shd w:val="clear" w:color="auto" w:fill="FBFDFE"/>
              </w:rPr>
              <w:t>3.合同管理</w:t>
            </w:r>
          </w:p>
        </w:tc>
        <w:tc>
          <w:tcPr>
            <w:tcW w:w="5088" w:type="dxa"/>
            <w:noWrap w:val="0"/>
            <w:vAlign w:val="top"/>
          </w:tcPr>
          <w:p w14:paraId="0AD91BFA">
            <w:pPr>
              <w:pStyle w:val="2"/>
              <w:rPr>
                <w:rFonts w:ascii="仿宋_GB2312" w:hAnsi="仿宋_GB2312" w:eastAsia="仿宋_GB2312" w:cs="仿宋_GB2312"/>
                <w:color w:val="333333"/>
                <w:sz w:val="32"/>
                <w:szCs w:val="32"/>
                <w:shd w:val="clear" w:color="auto" w:fill="FBFDFE"/>
              </w:rPr>
            </w:pPr>
            <w:r>
              <w:rPr>
                <w:rFonts w:hint="eastAsia" w:ascii="仿宋_GB2312" w:hAnsi="仿宋_GB2312" w:eastAsia="仿宋_GB2312" w:cs="仿宋_GB2312"/>
                <w:color w:val="333333"/>
                <w:kern w:val="0"/>
                <w:sz w:val="24"/>
                <w:szCs w:val="24"/>
                <w:shd w:val="clear" w:color="auto" w:fill="FBFDFE"/>
              </w:rPr>
              <w:t>（1）</w:t>
            </w:r>
            <w:r>
              <w:rPr>
                <w:rFonts w:hint="eastAsia" w:ascii="仿宋_GB2312" w:hAnsi="仿宋_GB2312" w:eastAsia="仿宋_GB2312" w:cs="仿宋_GB2312"/>
                <w:color w:val="333333"/>
                <w:kern w:val="0"/>
                <w:sz w:val="24"/>
                <w:szCs w:val="24"/>
                <w:shd w:val="clear" w:color="auto" w:fill="FBFDFE"/>
                <w:lang w:eastAsia="zh-CN"/>
              </w:rPr>
              <w:t>经营权转让</w:t>
            </w:r>
            <w:r>
              <w:rPr>
                <w:rFonts w:hint="eastAsia" w:ascii="仿宋_GB2312" w:hAnsi="仿宋_GB2312" w:eastAsia="仿宋_GB2312" w:cs="仿宋_GB2312"/>
                <w:color w:val="333333"/>
                <w:kern w:val="0"/>
                <w:sz w:val="24"/>
                <w:szCs w:val="24"/>
                <w:shd w:val="clear" w:color="auto" w:fill="FBFDFE"/>
              </w:rPr>
              <w:t>期：3年，合同一年一签，考核合格后签订下一年合同（考核细则详见《南京市溧水区人民医院门诊二楼药店年度考核细则》）。</w:t>
            </w:r>
          </w:p>
        </w:tc>
        <w:tc>
          <w:tcPr>
            <w:tcW w:w="2273" w:type="dxa"/>
            <w:noWrap w:val="0"/>
            <w:vAlign w:val="top"/>
          </w:tcPr>
          <w:p w14:paraId="6393DE0A">
            <w:pPr>
              <w:rPr>
                <w:rFonts w:ascii="仿宋_GB2312" w:hAnsi="仿宋_GB2312" w:eastAsia="仿宋_GB2312" w:cs="仿宋_GB2312"/>
                <w:color w:val="333333"/>
                <w:sz w:val="32"/>
                <w:szCs w:val="32"/>
                <w:shd w:val="clear" w:color="auto" w:fill="FBFDFE"/>
              </w:rPr>
            </w:pPr>
          </w:p>
        </w:tc>
        <w:tc>
          <w:tcPr>
            <w:tcW w:w="766" w:type="dxa"/>
            <w:noWrap w:val="0"/>
            <w:vAlign w:val="top"/>
          </w:tcPr>
          <w:p w14:paraId="60CBF435">
            <w:pPr>
              <w:rPr>
                <w:rFonts w:ascii="仿宋_GB2312" w:hAnsi="仿宋_GB2312" w:eastAsia="仿宋_GB2312" w:cs="仿宋_GB2312"/>
                <w:color w:val="333333"/>
                <w:sz w:val="32"/>
                <w:szCs w:val="32"/>
                <w:shd w:val="clear" w:color="auto" w:fill="FBFDFE"/>
              </w:rPr>
            </w:pPr>
          </w:p>
        </w:tc>
      </w:tr>
      <w:tr w14:paraId="57655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7" w:type="dxa"/>
            <w:vMerge w:val="continue"/>
            <w:noWrap w:val="0"/>
            <w:vAlign w:val="top"/>
          </w:tcPr>
          <w:p w14:paraId="1E806099">
            <w:pPr>
              <w:rPr>
                <w:rFonts w:ascii="仿宋_GB2312" w:hAnsi="仿宋_GB2312" w:eastAsia="仿宋_GB2312" w:cs="仿宋_GB2312"/>
                <w:color w:val="333333"/>
                <w:sz w:val="32"/>
                <w:szCs w:val="32"/>
                <w:shd w:val="clear" w:color="auto" w:fill="FBFDFE"/>
              </w:rPr>
            </w:pPr>
          </w:p>
        </w:tc>
        <w:tc>
          <w:tcPr>
            <w:tcW w:w="5088" w:type="dxa"/>
            <w:noWrap w:val="0"/>
            <w:vAlign w:val="top"/>
          </w:tcPr>
          <w:p w14:paraId="3B8E81C2">
            <w:pPr>
              <w:rPr>
                <w:rFonts w:ascii="仿宋_GB2312" w:hAnsi="仿宋_GB2312" w:eastAsia="仿宋_GB2312" w:cs="仿宋_GB2312"/>
                <w:color w:val="333333"/>
                <w:sz w:val="32"/>
                <w:szCs w:val="32"/>
                <w:shd w:val="clear" w:color="auto" w:fill="FBFDFE"/>
              </w:rPr>
            </w:pPr>
            <w:r>
              <w:rPr>
                <w:rFonts w:hint="eastAsia" w:ascii="仿宋_GB2312" w:hAnsi="仿宋_GB2312" w:eastAsia="仿宋_GB2312" w:cs="仿宋_GB2312"/>
                <w:color w:val="333333"/>
                <w:shd w:val="clear" w:color="auto" w:fill="FBFDFE"/>
              </w:rPr>
              <w:t>（2）</w:t>
            </w:r>
            <w:r>
              <w:rPr>
                <w:rFonts w:hint="eastAsia" w:ascii="仿宋_GB2312" w:hAnsi="仿宋_GB2312" w:eastAsia="仿宋_GB2312" w:cs="仿宋_GB2312"/>
                <w:color w:val="333333"/>
                <w:shd w:val="clear" w:color="auto" w:fill="FBFDFE"/>
                <w:lang w:eastAsia="zh-CN"/>
              </w:rPr>
              <w:t>转让</w:t>
            </w:r>
            <w:r>
              <w:rPr>
                <w:rFonts w:hint="eastAsia" w:ascii="仿宋_GB2312" w:hAnsi="仿宋_GB2312" w:eastAsia="仿宋_GB2312" w:cs="仿宋_GB2312"/>
                <w:color w:val="333333"/>
                <w:shd w:val="clear" w:color="auto" w:fill="FBFDFE"/>
              </w:rPr>
              <w:t>金支付方式：先付费后使用，在被确人为受让方后五个工作日内签署转让合同以及一次性支付当年</w:t>
            </w:r>
            <w:r>
              <w:rPr>
                <w:rFonts w:hint="eastAsia" w:ascii="仿宋_GB2312" w:hAnsi="仿宋_GB2312" w:eastAsia="仿宋_GB2312" w:cs="仿宋_GB2312"/>
                <w:color w:val="333333"/>
                <w:shd w:val="clear" w:color="auto" w:fill="FBFDFE"/>
                <w:lang w:eastAsia="zh-CN"/>
              </w:rPr>
              <w:t>转让</w:t>
            </w:r>
            <w:r>
              <w:rPr>
                <w:rFonts w:hint="eastAsia" w:ascii="仿宋_GB2312" w:hAnsi="仿宋_GB2312" w:eastAsia="仿宋_GB2312" w:cs="仿宋_GB2312"/>
                <w:color w:val="333333"/>
                <w:shd w:val="clear" w:color="auto" w:fill="FBFDFE"/>
              </w:rPr>
              <w:t>金，</w:t>
            </w:r>
            <w:r>
              <w:rPr>
                <w:rFonts w:hint="eastAsia" w:ascii="仿宋_GB2312" w:hAnsi="仿宋_GB2312" w:eastAsia="仿宋_GB2312" w:cs="仿宋_GB2312"/>
                <w:color w:val="333333"/>
                <w:shd w:val="clear" w:color="auto" w:fill="FBFDFE"/>
                <w:lang w:eastAsia="zh-CN"/>
              </w:rPr>
              <w:t>履约保证金</w:t>
            </w:r>
            <w:r>
              <w:rPr>
                <w:rFonts w:hint="eastAsia" w:ascii="仿宋_GB2312" w:hAnsi="仿宋_GB2312" w:eastAsia="仿宋_GB2312" w:cs="仿宋_GB2312"/>
                <w:color w:val="333333"/>
                <w:shd w:val="clear" w:color="auto" w:fill="FBFDFE"/>
              </w:rPr>
              <w:t>金以及其他所需费用。此后每年的</w:t>
            </w:r>
            <w:r>
              <w:rPr>
                <w:rFonts w:hint="eastAsia" w:ascii="仿宋_GB2312" w:hAnsi="仿宋_GB2312" w:eastAsia="仿宋_GB2312" w:cs="仿宋_GB2312"/>
                <w:color w:val="333333"/>
                <w:shd w:val="clear" w:color="auto" w:fill="FBFDFE"/>
                <w:lang w:eastAsia="zh-CN"/>
              </w:rPr>
              <w:t>转让</w:t>
            </w:r>
            <w:r>
              <w:rPr>
                <w:rFonts w:hint="eastAsia" w:ascii="仿宋_GB2312" w:hAnsi="仿宋_GB2312" w:eastAsia="仿宋_GB2312" w:cs="仿宋_GB2312"/>
                <w:color w:val="333333"/>
                <w:shd w:val="clear" w:color="auto" w:fill="FBFDFE"/>
              </w:rPr>
              <w:t>金应分别于每年的1</w:t>
            </w:r>
            <w:r>
              <w:rPr>
                <w:rFonts w:hint="eastAsia" w:ascii="仿宋_GB2312" w:hAnsi="仿宋_GB2312" w:eastAsia="仿宋_GB2312" w:cs="仿宋_GB2312"/>
                <w:color w:val="333333"/>
                <w:shd w:val="clear" w:color="auto" w:fill="FBFDFE"/>
                <w:lang w:val="en-US" w:eastAsia="zh-CN"/>
              </w:rPr>
              <w:t>1</w:t>
            </w:r>
            <w:r>
              <w:rPr>
                <w:rFonts w:hint="eastAsia" w:ascii="仿宋_GB2312" w:hAnsi="仿宋_GB2312" w:eastAsia="仿宋_GB2312" w:cs="仿宋_GB2312"/>
                <w:color w:val="333333"/>
                <w:shd w:val="clear" w:color="auto" w:fill="FBFDFE"/>
              </w:rPr>
              <w:t>月1日前一次性付清，先付后</w:t>
            </w:r>
            <w:r>
              <w:rPr>
                <w:rFonts w:hint="eastAsia" w:ascii="仿宋_GB2312" w:hAnsi="仿宋_GB2312" w:eastAsia="仿宋_GB2312" w:cs="仿宋_GB2312"/>
                <w:color w:val="333333"/>
                <w:shd w:val="clear" w:color="auto" w:fill="FBFDFE"/>
                <w:lang w:eastAsia="zh-CN"/>
              </w:rPr>
              <w:t>用</w:t>
            </w:r>
            <w:r>
              <w:rPr>
                <w:rFonts w:hint="eastAsia" w:ascii="仿宋_GB2312" w:hAnsi="仿宋_GB2312" w:eastAsia="仿宋_GB2312" w:cs="仿宋_GB2312"/>
                <w:color w:val="333333"/>
                <w:shd w:val="clear" w:color="auto" w:fill="FBFDFE"/>
              </w:rPr>
              <w:t>。</w:t>
            </w:r>
          </w:p>
        </w:tc>
        <w:tc>
          <w:tcPr>
            <w:tcW w:w="2273" w:type="dxa"/>
            <w:noWrap w:val="0"/>
            <w:vAlign w:val="top"/>
          </w:tcPr>
          <w:p w14:paraId="034AAAFA">
            <w:pPr>
              <w:rPr>
                <w:rFonts w:ascii="仿宋_GB2312" w:hAnsi="仿宋_GB2312" w:eastAsia="仿宋_GB2312" w:cs="仿宋_GB2312"/>
                <w:color w:val="333333"/>
                <w:sz w:val="32"/>
                <w:szCs w:val="32"/>
                <w:shd w:val="clear" w:color="auto" w:fill="FBFDFE"/>
              </w:rPr>
            </w:pPr>
          </w:p>
        </w:tc>
        <w:tc>
          <w:tcPr>
            <w:tcW w:w="766" w:type="dxa"/>
            <w:noWrap w:val="0"/>
            <w:vAlign w:val="top"/>
          </w:tcPr>
          <w:p w14:paraId="01C9F17C">
            <w:pPr>
              <w:rPr>
                <w:rFonts w:ascii="仿宋_GB2312" w:hAnsi="仿宋_GB2312" w:eastAsia="仿宋_GB2312" w:cs="仿宋_GB2312"/>
                <w:color w:val="333333"/>
                <w:sz w:val="32"/>
                <w:szCs w:val="32"/>
                <w:shd w:val="clear" w:color="auto" w:fill="FBFDFE"/>
              </w:rPr>
            </w:pPr>
          </w:p>
        </w:tc>
      </w:tr>
    </w:tbl>
    <w:p w14:paraId="19A5CAAC">
      <w:pPr>
        <w:rPr>
          <w:rFonts w:hint="eastAsia" w:ascii="仿宋_GB2312" w:hAnsi="仿宋_GB2312" w:eastAsia="仿宋_GB2312" w:cs="仿宋_GB2312"/>
          <w:color w:val="333333"/>
          <w:kern w:val="0"/>
          <w:sz w:val="24"/>
          <w:shd w:val="clear" w:color="auto" w:fill="FBFDFE"/>
        </w:rPr>
      </w:pPr>
    </w:p>
    <w:p w14:paraId="3828584E">
      <w:pPr>
        <w:rPr>
          <w:rFonts w:hint="eastAsia" w:ascii="仿宋_GB2312" w:hAnsi="仿宋_GB2312" w:eastAsia="仿宋_GB2312" w:cs="仿宋_GB2312"/>
          <w:color w:val="333333"/>
          <w:kern w:val="0"/>
          <w:sz w:val="24"/>
          <w:shd w:val="clear" w:color="auto" w:fill="FBFDFE"/>
        </w:rPr>
        <w:sectPr>
          <w:footerReference r:id="rId3" w:type="default"/>
          <w:pgSz w:w="11906" w:h="16838"/>
          <w:pgMar w:top="1440" w:right="1800" w:bottom="1440" w:left="1800" w:header="851" w:footer="992" w:gutter="0"/>
          <w:cols w:space="720" w:num="1"/>
          <w:docGrid w:type="lines" w:linePitch="312" w:charSpace="0"/>
        </w:sectPr>
      </w:pPr>
      <w:r>
        <w:rPr>
          <w:rFonts w:hint="eastAsia" w:ascii="仿宋_GB2312" w:hAnsi="仿宋_GB2312" w:eastAsia="仿宋_GB2312" w:cs="仿宋_GB2312"/>
          <w:color w:val="333333"/>
          <w:kern w:val="0"/>
          <w:sz w:val="24"/>
          <w:shd w:val="clear" w:color="auto" w:fill="FBFDFE"/>
        </w:rPr>
        <w:t>本公司承诺所提供的综合评审材料真实性，若有任何虚构，愿意承担一切经济法律责任。</w:t>
      </w:r>
    </w:p>
    <w:p w14:paraId="2D961DD0">
      <w:pPr>
        <w:numPr>
          <w:numId w:val="0"/>
        </w:numPr>
        <w:rPr>
          <w:rFonts w:hint="eastAsia" w:ascii="仿宋_GB2312" w:hAnsi="仿宋_GB2312" w:eastAsia="仿宋_GB2312" w:cs="仿宋_GB2312"/>
          <w:color w:val="333333"/>
          <w:kern w:val="0"/>
          <w:sz w:val="32"/>
          <w:szCs w:val="32"/>
          <w:shd w:val="clear" w:color="auto" w:fill="FBFDFE"/>
        </w:rPr>
      </w:pPr>
    </w:p>
    <w:p w14:paraId="1DE6508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18C8A">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07DFD47">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707DFD47">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8965B8"/>
    <w:multiLevelType w:val="singleLevel"/>
    <w:tmpl w:val="988965B8"/>
    <w:lvl w:ilvl="0" w:tentative="0">
      <w:start w:val="1"/>
      <w:numFmt w:val="decimal"/>
      <w:suff w:val="nothing"/>
      <w:lvlText w:val="%1、"/>
      <w:lvlJc w:val="left"/>
    </w:lvl>
  </w:abstractNum>
  <w:abstractNum w:abstractNumId="1">
    <w:nsid w:val="F3463AE6"/>
    <w:multiLevelType w:val="singleLevel"/>
    <w:tmpl w:val="F3463AE6"/>
    <w:lvl w:ilvl="0" w:tentative="0">
      <w:start w:val="3"/>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D4559B"/>
    <w:rsid w:val="01D4559B"/>
    <w:rsid w:val="1D3F29F1"/>
    <w:rsid w:val="785811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szCs w:val="22"/>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Normal (Web)"/>
    <w:basedOn w:val="1"/>
    <w:qFormat/>
    <w:uiPriority w:val="99"/>
    <w:pPr>
      <w:widowControl/>
      <w:jc w:val="left"/>
    </w:pPr>
    <w:rPr>
      <w:rFonts w:ascii="Times New Roman" w:hAnsi="Times New Roman" w:cs="Times New Roman"/>
      <w:kern w:val="0"/>
      <w:sz w:val="24"/>
      <w:szCs w:val="24"/>
    </w:rPr>
  </w:style>
  <w:style w:type="character" w:customStyle="1" w:styleId="7">
    <w:name w:val="font11"/>
    <w:uiPriority w:val="0"/>
    <w:rPr>
      <w:rFonts w:hint="default" w:ascii="Wingdings" w:hAnsi="Wingdings" w:cs="Wingdings"/>
      <w:color w:val="000000"/>
      <w:sz w:val="22"/>
      <w:szCs w:val="22"/>
      <w:u w:val="none"/>
    </w:rPr>
  </w:style>
  <w:style w:type="character" w:customStyle="1" w:styleId="8">
    <w:name w:val="font01"/>
    <w:qFormat/>
    <w:uiPriority w:val="0"/>
    <w:rPr>
      <w:rFonts w:hint="eastAsia" w:ascii="宋体" w:hAnsi="宋体" w:eastAsia="宋体" w:cs="宋体"/>
      <w:color w:val="000000"/>
      <w:sz w:val="22"/>
      <w:szCs w:val="22"/>
      <w:u w:val="none"/>
    </w:rPr>
  </w:style>
  <w:style w:type="paragraph" w:styleId="9">
    <w:name w:val="List Paragraph"/>
    <w:basedOn w:val="1"/>
    <w:qFormat/>
    <w:uiPriority w:val="99"/>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2517</Words>
  <Characters>2548</Characters>
  <Lines>0</Lines>
  <Paragraphs>0</Paragraphs>
  <TotalTime>2</TotalTime>
  <ScaleCrop>false</ScaleCrop>
  <LinksUpToDate>false</LinksUpToDate>
  <CharactersWithSpaces>2702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2024-11-29T01:15:00Z</dcterms:created>
  <dc:creator>冯飞扬</dc:creator>
  <cp:lastModifiedBy>冯飞扬</cp:lastModifiedBy>
  <dcterms:modified xsi:type="dcterms:W3CDTF">2024-11-29T01:25:55Z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77219B7BED904422B11EC565C29FA397_11</vt:lpwstr>
  </property>
</Properties>
</file>