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89"/>
      <w:bookmarkStart w:id="5" w:name="_Toc28359012"/>
      <w:bookmarkStart w:id="6" w:name="_Toc35393629"/>
    </w:p>
    <w:p w14:paraId="01880AE9">
      <w:pPr>
        <w:spacing w:line="400" w:lineRule="exact"/>
        <w:rPr>
          <w:rFonts w:hint="eastAsia" w:cs="仿宋"/>
          <w:u w:val="none"/>
        </w:rPr>
      </w:pPr>
      <w:r>
        <w:rPr>
          <w:rFonts w:hint="eastAsia" w:cs="仿宋"/>
          <w:u w:val="none"/>
        </w:rPr>
        <w:t>溧水区人民医院</w:t>
      </w:r>
      <w:r>
        <w:rPr>
          <w:rFonts w:hint="eastAsia" w:cs="仿宋"/>
          <w:u w:val="none"/>
          <w:lang w:val="en-US" w:eastAsia="zh-CN"/>
        </w:rPr>
        <w:t>49台冰箱批量采购</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4</w:t>
      </w:r>
      <w:r>
        <w:rPr>
          <w:rFonts w:hint="eastAsia" w:cs="仿宋"/>
          <w:u w:val="none"/>
        </w:rPr>
        <w:t>月</w:t>
      </w:r>
      <w:r>
        <w:rPr>
          <w:rFonts w:hint="eastAsia" w:cs="仿宋"/>
          <w:u w:val="none"/>
          <w:lang w:val="en-US" w:eastAsia="zh-CN"/>
        </w:rPr>
        <w:t>25</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ZB2025-Z00</w:t>
      </w:r>
      <w:r>
        <w:rPr>
          <w:rFonts w:hint="eastAsia" w:cs="仿宋"/>
          <w:b w:val="0"/>
          <w:bCs w:val="0"/>
          <w:color w:val="000000"/>
          <w:kern w:val="0"/>
          <w:highlight w:val="none"/>
          <w:u w:val="none"/>
          <w:lang w:val="en-US" w:eastAsia="zh-CN"/>
        </w:rPr>
        <w:t>2</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val="en-US" w:eastAsia="zh-CN"/>
        </w:rPr>
        <w:t>49台冰箱批量采购</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default" w:eastAsia="仿宋"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35393630"/>
      <w:bookmarkStart w:id="8" w:name="_Toc28359090"/>
      <w:bookmarkStart w:id="9" w:name="_Toc28359013"/>
      <w:bookmarkStart w:id="10" w:name="_Toc35393799"/>
      <w:r>
        <w:rPr>
          <w:rFonts w:hint="eastAsia" w:cs="仿宋"/>
          <w:color w:val="000000"/>
          <w:kern w:val="0"/>
          <w:highlight w:val="none"/>
          <w:u w:val="none"/>
          <w:lang w:val="en-US" w:eastAsia="zh-CN"/>
        </w:rPr>
        <w:t>40000元</w:t>
      </w:r>
    </w:p>
    <w:p w14:paraId="50EF0801">
      <w:pPr>
        <w:spacing w:line="400" w:lineRule="exact"/>
        <w:ind w:firstLine="562" w:firstLineChars="0"/>
        <w:rPr>
          <w:rFonts w:hint="default" w:cs="仿宋"/>
          <w:u w:val="none"/>
          <w:lang w:val="en-US" w:eastAsia="zh-CN"/>
        </w:rPr>
      </w:pPr>
    </w:p>
    <w:p w14:paraId="35109F36">
      <w:pPr>
        <w:numPr>
          <w:ilvl w:val="0"/>
          <w:numId w:val="3"/>
        </w:numPr>
        <w:spacing w:line="400" w:lineRule="exact"/>
        <w:ind w:firstLine="0" w:firstLineChars="0"/>
        <w:rPr>
          <w:rFonts w:hint="eastAsia" w:cs="仿宋"/>
          <w:highlight w:val="none"/>
          <w:u w:val="none"/>
          <w:lang w:eastAsia="zh-CN"/>
        </w:rPr>
      </w:pPr>
      <w:r>
        <w:rPr>
          <w:rFonts w:hint="eastAsia" w:cs="仿宋"/>
          <w:highlight w:val="none"/>
          <w:u w:val="none"/>
        </w:rPr>
        <w:t>投标人资格要求</w:t>
      </w:r>
      <w:bookmarkEnd w:id="2"/>
      <w:bookmarkEnd w:id="7"/>
      <w:bookmarkEnd w:id="8"/>
      <w:bookmarkEnd w:id="9"/>
      <w:bookmarkEnd w:id="10"/>
      <w:bookmarkStart w:id="11" w:name="_Toc28359015"/>
      <w:bookmarkStart w:id="12" w:name="_Toc28359092"/>
      <w:bookmarkStart w:id="13" w:name="_Toc35393632"/>
      <w:bookmarkStart w:id="14" w:name="_Toc35393801"/>
      <w:r>
        <w:rPr>
          <w:rFonts w:hint="eastAsia" w:cs="仿宋"/>
          <w:highlight w:val="none"/>
          <w:u w:val="none"/>
          <w:lang w:eastAsia="zh-CN"/>
        </w:rPr>
        <w:t>（</w:t>
      </w:r>
      <w:r>
        <w:rPr>
          <w:rFonts w:hint="eastAsia" w:cs="仿宋"/>
          <w:highlight w:val="none"/>
          <w:u w:val="single"/>
          <w:lang w:val="en-US" w:eastAsia="zh-CN"/>
        </w:rPr>
        <w:t>纸质版报名材料要制作在响应文件内</w:t>
      </w:r>
      <w:r>
        <w:rPr>
          <w:rFonts w:hint="eastAsia" w:cs="仿宋"/>
          <w:highlight w:val="none"/>
          <w:u w:val="none"/>
          <w:lang w:eastAsia="zh-CN"/>
        </w:rPr>
        <w:t>）</w:t>
      </w:r>
    </w:p>
    <w:p w14:paraId="52582FD8">
      <w:pPr>
        <w:spacing w:line="400" w:lineRule="exact"/>
        <w:rPr>
          <w:rFonts w:hint="eastAsia" w:cs="仿宋"/>
          <w:b w:val="0"/>
          <w:bCs w:val="0"/>
          <w:color w:val="000000"/>
          <w:kern w:val="0"/>
          <w:highlight w:val="none"/>
          <w:u w:val="none"/>
        </w:rPr>
      </w:pPr>
      <w:bookmarkStart w:id="15" w:name="OLE_LINK5"/>
      <w:bookmarkStart w:id="16" w:name="OLE_LINK2"/>
      <w:bookmarkStart w:id="17" w:name="OLE_LINK3"/>
      <w:bookmarkStart w:id="18" w:name="OLE_LINK1"/>
      <w:r>
        <w:rPr>
          <w:rFonts w:hint="eastAsia" w:cs="仿宋"/>
          <w:b w:val="0"/>
          <w:bCs w:val="0"/>
          <w:color w:val="000000"/>
          <w:kern w:val="0"/>
          <w:highlight w:val="none"/>
          <w:u w:val="none"/>
        </w:rPr>
        <w:t>1.生产商</w:t>
      </w:r>
      <w:bookmarkEnd w:id="15"/>
      <w:r>
        <w:rPr>
          <w:rFonts w:hint="eastAsia" w:cs="仿宋"/>
          <w:b w:val="0"/>
          <w:bCs w:val="0"/>
          <w:color w:val="000000"/>
          <w:kern w:val="0"/>
          <w:highlight w:val="none"/>
          <w:u w:val="none"/>
        </w:rPr>
        <w:t>营业执照</w:t>
      </w:r>
    </w:p>
    <w:p w14:paraId="7BA1C53E">
      <w:pPr>
        <w:spacing w:line="400" w:lineRule="exact"/>
        <w:rPr>
          <w:rFonts w:hint="eastAsia" w:cs="仿宋"/>
          <w:b w:val="0"/>
          <w:bCs w:val="0"/>
          <w:color w:val="000000"/>
          <w:kern w:val="0"/>
          <w:highlight w:val="none"/>
          <w:u w:val="none"/>
        </w:rPr>
      </w:pPr>
      <w:r>
        <w:rPr>
          <w:rFonts w:hint="eastAsia" w:cs="仿宋"/>
          <w:b w:val="0"/>
          <w:bCs w:val="0"/>
          <w:color w:val="000000"/>
          <w:kern w:val="0"/>
          <w:highlight w:val="none"/>
          <w:u w:val="none"/>
        </w:rPr>
        <w:t>2.生产商生产许可证</w:t>
      </w:r>
    </w:p>
    <w:p w14:paraId="544FA9D0">
      <w:pPr>
        <w:spacing w:line="400" w:lineRule="exact"/>
        <w:rPr>
          <w:rFonts w:hint="eastAsia" w:cs="仿宋"/>
          <w:b w:val="0"/>
          <w:bCs w:val="0"/>
          <w:color w:val="000000"/>
          <w:kern w:val="0"/>
          <w:highlight w:val="none"/>
          <w:u w:val="none"/>
        </w:rPr>
      </w:pPr>
      <w:r>
        <w:rPr>
          <w:rFonts w:hint="eastAsia" w:cs="仿宋"/>
          <w:b w:val="0"/>
          <w:bCs w:val="0"/>
          <w:color w:val="000000"/>
          <w:kern w:val="0"/>
          <w:highlight w:val="none"/>
          <w:u w:val="none"/>
        </w:rPr>
        <w:t>3.供应商营业执照</w:t>
      </w:r>
    </w:p>
    <w:bookmarkEnd w:id="16"/>
    <w:bookmarkEnd w:id="17"/>
    <w:bookmarkEnd w:id="18"/>
    <w:p w14:paraId="109D16CF">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21</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23</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4</w:t>
      </w:r>
      <w:r>
        <w:rPr>
          <w:rFonts w:hint="eastAsia" w:cs="仿宋"/>
          <w:b w:val="0"/>
          <w:bCs w:val="0"/>
          <w:u w:val="none"/>
        </w:rPr>
        <w:t>月</w:t>
      </w:r>
      <w:r>
        <w:rPr>
          <w:rFonts w:hint="eastAsia" w:cs="仿宋"/>
          <w:b w:val="0"/>
          <w:bCs w:val="0"/>
          <w:u w:val="none"/>
          <w:lang w:val="en-US" w:eastAsia="zh-CN"/>
        </w:rPr>
        <w:t>25</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9" w:name="_Toc28359094"/>
      <w:bookmarkStart w:id="20" w:name="_Toc35393634"/>
      <w:bookmarkStart w:id="21" w:name="_Toc28359017"/>
      <w:bookmarkStart w:id="22" w:name="_Toc35393803"/>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9"/>
      <w:bookmarkEnd w:id="20"/>
      <w:bookmarkEnd w:id="21"/>
      <w:bookmarkEnd w:id="22"/>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23" w:name="_Toc35393636"/>
      <w:bookmarkStart w:id="24" w:name="_Toc28359095"/>
      <w:bookmarkStart w:id="25" w:name="_Toc28359018"/>
      <w:bookmarkStart w:id="26" w:name="_Toc35393805"/>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23"/>
      <w:bookmarkEnd w:id="24"/>
      <w:bookmarkEnd w:id="25"/>
      <w:bookmarkEnd w:id="26"/>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val="en-US" w:eastAsia="zh-CN"/>
        </w:rPr>
        <w:t>董</w:t>
      </w:r>
      <w:r>
        <w:rPr>
          <w:rFonts w:hint="eastAsia" w:cs="仿宋"/>
          <w:b w:val="0"/>
          <w:bCs w:val="0"/>
          <w:u w:val="none"/>
        </w:rPr>
        <w:t>老师（总务科）</w:t>
      </w:r>
    </w:p>
    <w:p w14:paraId="0A4CD12C">
      <w:pPr>
        <w:spacing w:line="400" w:lineRule="exact"/>
        <w:ind w:firstLine="2240" w:firstLineChars="80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cs="仿宋"/>
          <w:b w:val="0"/>
          <w:bCs w:val="0"/>
          <w:u w:val="none"/>
        </w:rPr>
        <w:t>025-56232023秦老师（采购中心）</w:t>
      </w:r>
    </w:p>
    <w:p w14:paraId="5C3345DF">
      <w:pPr>
        <w:pStyle w:val="20"/>
        <w:spacing w:line="400" w:lineRule="exact"/>
        <w:rPr>
          <w:rFonts w:hint="eastAsia" w:ascii="仿宋" w:hAnsi="仿宋" w:eastAsia="仿宋" w:cs="仿宋"/>
          <w:sz w:val="28"/>
          <w:szCs w:val="28"/>
        </w:rPr>
      </w:pPr>
    </w:p>
    <w:p w14:paraId="26577019">
      <w:pPr>
        <w:pStyle w:val="20"/>
        <w:numPr>
          <w:ilvl w:val="0"/>
          <w:numId w:val="4"/>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服务需求</w:t>
      </w:r>
    </w:p>
    <w:p w14:paraId="184A79C0">
      <w:pPr>
        <w:spacing w:line="400" w:lineRule="exact"/>
        <w:ind w:firstLine="1084" w:firstLineChars="300"/>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（根据此内容填写《</w:t>
      </w:r>
      <w:r>
        <w:rPr>
          <w:rFonts w:hint="eastAsia" w:ascii="仿宋" w:hAnsi="仿宋" w:eastAsia="仿宋" w:cs="仿宋"/>
          <w:b/>
          <w:bCs/>
          <w:sz w:val="36"/>
          <w:szCs w:val="36"/>
          <w:lang w:val="zh-CN" w:eastAsia="zh-CN"/>
        </w:rPr>
        <w:t>服务条款偏离表</w:t>
      </w:r>
      <w:r>
        <w:rPr>
          <w:rFonts w:hint="eastAsia" w:ascii="仿宋" w:hAnsi="仿宋" w:eastAsia="仿宋" w:cs="仿宋"/>
          <w:b/>
          <w:bCs/>
          <w:sz w:val="36"/>
          <w:szCs w:val="36"/>
          <w:lang w:val="en-US" w:eastAsia="zh-CN"/>
        </w:rPr>
        <w:t>》</w:t>
      </w:r>
      <w:r>
        <w:rPr>
          <w:rFonts w:hint="eastAsia" w:cs="仿宋"/>
          <w:b/>
          <w:bCs/>
          <w:sz w:val="36"/>
          <w:szCs w:val="36"/>
          <w:lang w:val="en-US" w:eastAsia="zh-CN"/>
        </w:rPr>
        <w:t>，原则上均须全部响应，有一条不响应视为无效投标</w:t>
      </w:r>
      <w:r>
        <w:rPr>
          <w:rFonts w:hint="eastAsia" w:ascii="仿宋" w:hAnsi="仿宋" w:eastAsia="仿宋" w:cs="仿宋"/>
          <w:b/>
          <w:bCs/>
          <w:sz w:val="36"/>
          <w:szCs w:val="36"/>
          <w:lang w:val="en-US" w:eastAsia="zh-CN"/>
        </w:rPr>
        <w:t>）</w:t>
      </w:r>
    </w:p>
    <w:p w14:paraId="7579F511">
      <w:pPr>
        <w:spacing w:line="400" w:lineRule="exact"/>
        <w:ind w:left="0" w:leftChars="0" w:firstLine="0" w:firstLineChars="0"/>
        <w:rPr>
          <w:rFonts w:hint="eastAsia" w:cs="仿宋"/>
          <w:b w:val="0"/>
          <w:bCs w:val="0"/>
          <w:color w:val="000000"/>
          <w:u w:val="none"/>
        </w:rPr>
      </w:pPr>
    </w:p>
    <w:p w14:paraId="45854A4A">
      <w:pPr>
        <w:spacing w:line="400" w:lineRule="exact"/>
        <w:ind w:firstLine="560"/>
        <w:rPr>
          <w:rFonts w:hint="eastAsia" w:cs="仿宋"/>
          <w:b w:val="0"/>
          <w:bCs w:val="0"/>
          <w:u w:val="none"/>
        </w:rPr>
      </w:pPr>
      <w:r>
        <w:rPr>
          <w:rFonts w:hint="eastAsia" w:cs="仿宋"/>
          <w:b w:val="0"/>
          <w:bCs w:val="0"/>
          <w:u w:val="none"/>
        </w:rPr>
        <w:t>一、基本情况</w:t>
      </w:r>
    </w:p>
    <w:p w14:paraId="7185472D">
      <w:pPr>
        <w:spacing w:line="400" w:lineRule="exact"/>
        <w:ind w:firstLine="560"/>
        <w:rPr>
          <w:rFonts w:hint="eastAsia" w:cs="仿宋"/>
          <w:b w:val="0"/>
          <w:bCs w:val="0"/>
          <w:highlight w:val="none"/>
          <w:u w:val="none"/>
        </w:rPr>
      </w:pPr>
      <w:r>
        <w:rPr>
          <w:rFonts w:hint="eastAsia" w:cs="仿宋"/>
          <w:b w:val="0"/>
          <w:bCs w:val="0"/>
          <w:u w:val="none"/>
        </w:rPr>
        <w:t>医院VIP病房配置冰箱是为了提供一个更加舒适、安全和便利的就医生活环境。通过</w:t>
      </w:r>
      <w:r>
        <w:rPr>
          <w:rFonts w:hint="eastAsia" w:cs="仿宋"/>
          <w:b w:val="0"/>
          <w:bCs w:val="0"/>
          <w:highlight w:val="none"/>
          <w:u w:val="none"/>
        </w:rPr>
        <w:t>改善医院的生活环境，不仅有助于患者早日康复，而且可以提高患者的就医满意度，增加医疗服务收入。全院各病区VIP病房需要购置49台冰箱。</w:t>
      </w:r>
    </w:p>
    <w:p w14:paraId="206DF0A9">
      <w:pPr>
        <w:spacing w:line="400" w:lineRule="exact"/>
        <w:ind w:firstLine="560"/>
        <w:rPr>
          <w:rFonts w:hint="default" w:cs="仿宋"/>
          <w:b w:val="0"/>
          <w:bCs w:val="0"/>
          <w:highlight w:val="none"/>
          <w:u w:val="none"/>
          <w:lang w:val="en-US" w:eastAsia="zh-CN"/>
        </w:rPr>
      </w:pPr>
      <w:r>
        <w:rPr>
          <w:rFonts w:hint="eastAsia" w:cs="仿宋"/>
          <w:b w:val="0"/>
          <w:bCs w:val="0"/>
          <w:highlight w:val="none"/>
          <w:u w:val="none"/>
          <w:lang w:val="en-US" w:eastAsia="zh-CN"/>
        </w:rPr>
        <w:t>二、交货期：交货期：合同签订后10个工作日内全部交付至甲方指定地点，甲方总务科组织验收，如质量不达标，甲方有权拒收，并追究乙方的违约责任。</w:t>
      </w:r>
    </w:p>
    <w:p w14:paraId="66A5B736">
      <w:pPr>
        <w:spacing w:line="400" w:lineRule="exact"/>
        <w:ind w:firstLine="560"/>
        <w:rPr>
          <w:rFonts w:hint="eastAsia" w:cs="仿宋"/>
          <w:b w:val="0"/>
          <w:bCs w:val="0"/>
          <w:highlight w:val="none"/>
          <w:u w:val="none"/>
        </w:rPr>
      </w:pPr>
      <w:r>
        <w:rPr>
          <w:rFonts w:hint="eastAsia" w:cs="仿宋"/>
          <w:b w:val="0"/>
          <w:bCs w:val="0"/>
          <w:highlight w:val="none"/>
          <w:u w:val="none"/>
          <w:lang w:val="en-US" w:eastAsia="zh-CN"/>
        </w:rPr>
        <w:t>三</w:t>
      </w:r>
      <w:r>
        <w:rPr>
          <w:rFonts w:hint="eastAsia" w:cs="仿宋"/>
          <w:b w:val="0"/>
          <w:bCs w:val="0"/>
          <w:highlight w:val="none"/>
          <w:u w:val="none"/>
        </w:rPr>
        <w:t>、采购需求：</w:t>
      </w:r>
    </w:p>
    <w:p w14:paraId="2F80EAB0">
      <w:pPr>
        <w:spacing w:line="400" w:lineRule="exact"/>
        <w:ind w:firstLine="560"/>
        <w:rPr>
          <w:rFonts w:hint="eastAsia" w:cs="仿宋"/>
          <w:b w:val="0"/>
          <w:bCs w:val="0"/>
          <w:highlight w:val="none"/>
          <w:u w:val="none"/>
        </w:rPr>
      </w:pPr>
      <w:r>
        <w:rPr>
          <w:rFonts w:hint="eastAsia" w:cs="仿宋"/>
          <w:b w:val="0"/>
          <w:bCs w:val="0"/>
          <w:highlight w:val="none"/>
          <w:u w:val="none"/>
        </w:rPr>
        <w:t>1.49台单开两门冰箱（58L-60L,分冷藏室和冷冻室两个舱室）需供货交付到指定地点；</w:t>
      </w:r>
    </w:p>
    <w:p w14:paraId="443D35F5">
      <w:pPr>
        <w:spacing w:line="400" w:lineRule="exact"/>
        <w:ind w:firstLine="560"/>
        <w:rPr>
          <w:rFonts w:hint="eastAsia" w:cs="仿宋"/>
          <w:b w:val="0"/>
          <w:bCs w:val="0"/>
          <w:highlight w:val="none"/>
          <w:u w:val="none"/>
        </w:rPr>
      </w:pPr>
      <w:r>
        <w:rPr>
          <w:rFonts w:hint="eastAsia" w:cs="仿宋"/>
          <w:b w:val="0"/>
          <w:bCs w:val="0"/>
          <w:highlight w:val="none"/>
          <w:u w:val="none"/>
        </w:rPr>
        <w:t>2.冰箱整机质保期≥3年。冰箱质保期内正常使用故障报修，供货商需半小时内响应，24小时内到现场维修或整机更换，一般故障当天修复，特殊故障需返厂维修，经双方协商尽快修复，尽可能不影响甲方的正常使用；</w:t>
      </w:r>
    </w:p>
    <w:p w14:paraId="64DA87DD">
      <w:pPr>
        <w:spacing w:line="400" w:lineRule="exact"/>
        <w:ind w:firstLine="560"/>
        <w:rPr>
          <w:rFonts w:hint="eastAsia" w:cs="仿宋"/>
          <w:b w:val="0"/>
          <w:bCs w:val="0"/>
          <w:highlight w:val="none"/>
          <w:u w:val="none"/>
        </w:rPr>
      </w:pPr>
      <w:r>
        <w:rPr>
          <w:rFonts w:hint="eastAsia" w:cs="仿宋"/>
          <w:b w:val="0"/>
          <w:bCs w:val="0"/>
          <w:highlight w:val="none"/>
          <w:u w:val="none"/>
        </w:rPr>
        <w:t>3.冰箱供货需提供销货清单、装箱单、产品合格证和产品质量证明书。</w:t>
      </w:r>
    </w:p>
    <w:p w14:paraId="5F4F1161">
      <w:pPr>
        <w:spacing w:line="400" w:lineRule="exact"/>
        <w:ind w:firstLine="560"/>
        <w:rPr>
          <w:rFonts w:hint="eastAsia" w:cs="仿宋"/>
          <w:b w:val="0"/>
          <w:bCs w:val="0"/>
          <w:highlight w:val="none"/>
          <w:u w:val="none"/>
        </w:rPr>
      </w:pPr>
      <w:r>
        <w:rPr>
          <w:rFonts w:hint="eastAsia" w:cs="仿宋"/>
          <w:b w:val="0"/>
          <w:bCs w:val="0"/>
          <w:highlight w:val="none"/>
          <w:u w:val="none"/>
        </w:rPr>
        <w:t>4.供应商需提供冰箱使用指导及全套售后服务。</w:t>
      </w:r>
    </w:p>
    <w:p w14:paraId="21395E34">
      <w:pPr>
        <w:spacing w:line="400" w:lineRule="exact"/>
        <w:ind w:firstLine="560"/>
        <w:rPr>
          <w:rFonts w:hint="eastAsia" w:cs="仿宋"/>
          <w:b w:val="0"/>
          <w:bCs w:val="0"/>
          <w:highlight w:val="none"/>
          <w:u w:val="none"/>
          <w:lang w:val="en-US" w:eastAsia="zh-CN"/>
        </w:rPr>
      </w:pPr>
      <w:r>
        <w:rPr>
          <w:rFonts w:hint="eastAsia" w:cs="仿宋"/>
          <w:b w:val="0"/>
          <w:bCs w:val="0"/>
          <w:highlight w:val="none"/>
          <w:u w:val="none"/>
          <w:lang w:val="en-US" w:eastAsia="zh-CN"/>
        </w:rPr>
        <w:t>5.乙方应保证货物（包括零部件、配件）是全新、未使用过的、未拆封的原装合格正品（所供设备生产日期在6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396FB547">
      <w:pPr>
        <w:spacing w:line="400" w:lineRule="exact"/>
        <w:ind w:firstLine="560"/>
        <w:rPr>
          <w:rFonts w:hint="default" w:cs="仿宋"/>
          <w:b w:val="0"/>
          <w:bCs w:val="0"/>
          <w:highlight w:val="none"/>
          <w:u w:val="none"/>
          <w:lang w:val="en-US" w:eastAsia="zh-CN"/>
        </w:rPr>
      </w:pPr>
      <w:r>
        <w:rPr>
          <w:rFonts w:hint="eastAsia" w:cs="仿宋"/>
          <w:b w:val="0"/>
          <w:bCs w:val="0"/>
          <w:highlight w:val="none"/>
          <w:u w:val="none"/>
          <w:lang w:val="en-US" w:eastAsia="zh-CN"/>
        </w:rPr>
        <w:t>6.质保期内发生3次同一种重大质量问题，乙方无条件负责免费更换。在保修期内，如果原厂方鉴定设备因为人为损坏，厂方须出具具有法定权威性第三方检测证明，否则一律视为保修范围内容处理。质保期外乙方负责对本设备终身维修。</w:t>
      </w:r>
    </w:p>
    <w:p w14:paraId="3B79207C">
      <w:pPr>
        <w:spacing w:line="400" w:lineRule="exact"/>
        <w:ind w:firstLine="560"/>
        <w:rPr>
          <w:rFonts w:hint="eastAsia" w:cs="仿宋"/>
          <w:b w:val="0"/>
          <w:bCs w:val="0"/>
          <w:highlight w:val="none"/>
          <w:u w:val="none"/>
        </w:rPr>
      </w:pPr>
      <w:r>
        <w:rPr>
          <w:rFonts w:hint="eastAsia" w:cs="仿宋"/>
          <w:b w:val="0"/>
          <w:bCs w:val="0"/>
          <w:highlight w:val="none"/>
          <w:u w:val="none"/>
          <w:lang w:val="en-US" w:eastAsia="zh-CN"/>
        </w:rPr>
        <w:t>四、</w:t>
      </w:r>
      <w:r>
        <w:rPr>
          <w:rFonts w:hint="eastAsia" w:cs="仿宋"/>
          <w:b w:val="0"/>
          <w:bCs w:val="0"/>
          <w:highlight w:val="none"/>
          <w:u w:val="none"/>
        </w:rPr>
        <w:t>采购价款及付款方式</w:t>
      </w:r>
    </w:p>
    <w:p w14:paraId="7516FB61">
      <w:pPr>
        <w:spacing w:line="400" w:lineRule="exact"/>
        <w:ind w:firstLine="560"/>
        <w:rPr>
          <w:rFonts w:hint="eastAsia" w:cs="仿宋"/>
          <w:b w:val="0"/>
          <w:bCs w:val="0"/>
          <w:highlight w:val="none"/>
          <w:u w:val="none"/>
        </w:rPr>
      </w:pPr>
      <w:r>
        <w:rPr>
          <w:rFonts w:hint="eastAsia" w:cs="仿宋"/>
          <w:b w:val="0"/>
          <w:bCs w:val="0"/>
          <w:highlight w:val="none"/>
          <w:u w:val="none"/>
        </w:rPr>
        <w:t>1、采购价款包括冰箱购置费、装卸费、运输费、快递费、包装费、上楼费、安装费、检验费、管理费、规费、税金和乙方提供的售后服务等所需的全部费用，乙方不再有额外的任何收费。</w:t>
      </w:r>
    </w:p>
    <w:p w14:paraId="2EC148E9">
      <w:pPr>
        <w:spacing w:line="400" w:lineRule="exact"/>
        <w:ind w:firstLine="560"/>
        <w:rPr>
          <w:rFonts w:hint="eastAsia" w:cs="仿宋"/>
          <w:b w:val="0"/>
          <w:bCs w:val="0"/>
          <w:highlight w:val="none"/>
          <w:u w:val="none"/>
        </w:rPr>
      </w:pPr>
      <w:r>
        <w:rPr>
          <w:rFonts w:hint="eastAsia" w:cs="仿宋"/>
          <w:b w:val="0"/>
          <w:bCs w:val="0"/>
          <w:highlight w:val="none"/>
          <w:u w:val="none"/>
        </w:rPr>
        <w:t>2、付款方式：乙方将49台冰箱交付到甲方指定地点，经各相关方现场验收合格后，乙方开具供货清单经甲方签字确认，乙方出具相应的供货发票，甲方在90个工作日内付清乙方发票金额90%的供货费用，10%尾款作为质保金到质保期满后一次付清。如有冰箱现场验收及质保服务不合格，甲方有权拒绝签收及付款。</w:t>
      </w:r>
    </w:p>
    <w:p w14:paraId="0DDB115F">
      <w:pPr>
        <w:spacing w:line="400" w:lineRule="exact"/>
        <w:ind w:firstLine="560"/>
        <w:rPr>
          <w:rFonts w:hint="eastAsia" w:eastAsia="仿宋" w:cs="仿宋"/>
          <w:b w:val="0"/>
          <w:bCs w:val="0"/>
          <w:highlight w:val="none"/>
          <w:u w:val="none"/>
          <w:lang w:eastAsia="zh-CN"/>
        </w:rPr>
      </w:pPr>
      <w:r>
        <w:rPr>
          <w:rFonts w:hint="eastAsia" w:cs="仿宋"/>
          <w:b w:val="0"/>
          <w:bCs w:val="0"/>
          <w:highlight w:val="none"/>
          <w:u w:val="none"/>
        </w:rPr>
        <w:t>3、报价表</w:t>
      </w:r>
    </w:p>
    <w:tbl>
      <w:tblPr>
        <w:tblStyle w:val="16"/>
        <w:tblW w:w="10619" w:type="dxa"/>
        <w:jc w:val="center"/>
        <w:tblLayout w:type="fixed"/>
        <w:tblCellMar>
          <w:top w:w="0" w:type="dxa"/>
          <w:left w:w="108" w:type="dxa"/>
          <w:bottom w:w="0" w:type="dxa"/>
          <w:right w:w="108" w:type="dxa"/>
        </w:tblCellMar>
      </w:tblPr>
      <w:tblGrid>
        <w:gridCol w:w="2083"/>
        <w:gridCol w:w="1575"/>
        <w:gridCol w:w="1403"/>
        <w:gridCol w:w="887"/>
        <w:gridCol w:w="820"/>
        <w:gridCol w:w="1430"/>
        <w:gridCol w:w="1430"/>
        <w:gridCol w:w="991"/>
      </w:tblGrid>
      <w:tr w14:paraId="547B503D">
        <w:tblPrEx>
          <w:tblCellMar>
            <w:top w:w="0" w:type="dxa"/>
            <w:left w:w="108" w:type="dxa"/>
            <w:bottom w:w="0" w:type="dxa"/>
            <w:right w:w="108" w:type="dxa"/>
          </w:tblCellMar>
        </w:tblPrEx>
        <w:trPr>
          <w:trHeight w:val="527" w:hRule="atLeast"/>
          <w:jc w:val="center"/>
        </w:trPr>
        <w:tc>
          <w:tcPr>
            <w:tcW w:w="2083"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1E7A9258">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项目名称</w:t>
            </w:r>
          </w:p>
        </w:tc>
        <w:tc>
          <w:tcPr>
            <w:tcW w:w="1575"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3D61900A">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规格</w:t>
            </w:r>
          </w:p>
        </w:tc>
        <w:tc>
          <w:tcPr>
            <w:tcW w:w="1403"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F306936">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品牌型号</w:t>
            </w:r>
          </w:p>
        </w:tc>
        <w:tc>
          <w:tcPr>
            <w:tcW w:w="887"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7CDE08C7">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单位</w:t>
            </w:r>
          </w:p>
        </w:tc>
        <w:tc>
          <w:tcPr>
            <w:tcW w:w="82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2DB61731">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数量</w:t>
            </w:r>
          </w:p>
        </w:tc>
        <w:tc>
          <w:tcPr>
            <w:tcW w:w="143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3D829F93">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单价（元）</w:t>
            </w:r>
          </w:p>
        </w:tc>
        <w:tc>
          <w:tcPr>
            <w:tcW w:w="1430" w:type="dxa"/>
            <w:tcBorders>
              <w:top w:val="single" w:color="auto" w:sz="8" w:space="0"/>
              <w:left w:val="single" w:color="auto" w:sz="4" w:space="0"/>
              <w:bottom w:val="single" w:color="auto" w:sz="8" w:space="0"/>
              <w:right w:val="single" w:color="auto" w:sz="4" w:space="0"/>
            </w:tcBorders>
            <w:shd w:val="clear" w:color="auto" w:fill="C7E4B3" w:themeFill="accent4" w:themeFillTint="66"/>
            <w:vAlign w:val="center"/>
          </w:tcPr>
          <w:p w14:paraId="779AA75F">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总价（元）</w:t>
            </w:r>
          </w:p>
        </w:tc>
        <w:tc>
          <w:tcPr>
            <w:tcW w:w="991" w:type="dxa"/>
            <w:tcBorders>
              <w:top w:val="single" w:color="auto" w:sz="8" w:space="0"/>
              <w:left w:val="single" w:color="auto" w:sz="4" w:space="0"/>
              <w:bottom w:val="single" w:color="auto" w:sz="8" w:space="0"/>
              <w:right w:val="single" w:color="auto" w:sz="8" w:space="0"/>
            </w:tcBorders>
            <w:shd w:val="clear" w:color="auto" w:fill="C7E4B3" w:themeFill="accent4" w:themeFillTint="66"/>
            <w:vAlign w:val="center"/>
          </w:tcPr>
          <w:p w14:paraId="760D0D6E">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备注</w:t>
            </w:r>
          </w:p>
        </w:tc>
      </w:tr>
      <w:tr w14:paraId="2C85F387">
        <w:tblPrEx>
          <w:tblCellMar>
            <w:top w:w="0" w:type="dxa"/>
            <w:left w:w="108" w:type="dxa"/>
            <w:bottom w:w="0" w:type="dxa"/>
            <w:right w:w="108" w:type="dxa"/>
          </w:tblCellMar>
        </w:tblPrEx>
        <w:trPr>
          <w:trHeight w:val="548" w:hRule="atLeast"/>
          <w:jc w:val="center"/>
        </w:trPr>
        <w:tc>
          <w:tcPr>
            <w:tcW w:w="2083" w:type="dxa"/>
            <w:tcBorders>
              <w:top w:val="nil"/>
              <w:left w:val="single" w:color="auto" w:sz="8" w:space="0"/>
              <w:bottom w:val="single" w:color="auto" w:sz="8" w:space="0"/>
              <w:right w:val="single" w:color="auto" w:sz="8" w:space="0"/>
            </w:tcBorders>
            <w:shd w:val="clear" w:color="auto" w:fill="auto"/>
            <w:vAlign w:val="center"/>
          </w:tcPr>
          <w:p w14:paraId="00F1D843">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单开两门冰箱</w:t>
            </w:r>
          </w:p>
        </w:tc>
        <w:tc>
          <w:tcPr>
            <w:tcW w:w="1575" w:type="dxa"/>
            <w:tcBorders>
              <w:top w:val="nil"/>
              <w:left w:val="nil"/>
              <w:bottom w:val="single" w:color="auto" w:sz="8" w:space="0"/>
              <w:right w:val="single" w:color="auto" w:sz="8" w:space="0"/>
            </w:tcBorders>
            <w:shd w:val="clear" w:color="auto" w:fill="auto"/>
            <w:vAlign w:val="center"/>
          </w:tcPr>
          <w:p w14:paraId="0954508B">
            <w:pPr>
              <w:spacing w:line="400" w:lineRule="exact"/>
              <w:ind w:left="0" w:leftChars="0" w:firstLine="0" w:firstLineChars="0"/>
              <w:rPr>
                <w:rFonts w:hint="eastAsia" w:cs="仿宋"/>
                <w:b w:val="0"/>
                <w:bCs w:val="0"/>
                <w:highlight w:val="none"/>
                <w:u w:val="none"/>
                <w:lang w:val="en-US"/>
              </w:rPr>
            </w:pPr>
            <w:bookmarkStart w:id="27" w:name="OLE_LINK6"/>
            <w:bookmarkStart w:id="28" w:name="OLE_LINK4"/>
            <w:r>
              <w:rPr>
                <w:rFonts w:hint="eastAsia" w:cs="仿宋"/>
                <w:b w:val="0"/>
                <w:bCs w:val="0"/>
                <w:highlight w:val="none"/>
                <w:u w:val="none"/>
              </w:rPr>
              <w:t>58L-60L</w:t>
            </w:r>
            <w:bookmarkEnd w:id="27"/>
            <w:bookmarkEnd w:id="28"/>
          </w:p>
        </w:tc>
        <w:tc>
          <w:tcPr>
            <w:tcW w:w="1403" w:type="dxa"/>
            <w:tcBorders>
              <w:top w:val="nil"/>
              <w:left w:val="nil"/>
              <w:bottom w:val="single" w:color="auto" w:sz="8" w:space="0"/>
              <w:right w:val="single" w:color="auto" w:sz="8" w:space="0"/>
            </w:tcBorders>
            <w:shd w:val="clear" w:color="auto" w:fill="auto"/>
            <w:vAlign w:val="center"/>
          </w:tcPr>
          <w:p w14:paraId="250E669A">
            <w:pPr>
              <w:spacing w:line="400" w:lineRule="exact"/>
              <w:ind w:firstLine="560"/>
              <w:rPr>
                <w:rFonts w:hint="eastAsia" w:cs="仿宋"/>
                <w:b w:val="0"/>
                <w:bCs w:val="0"/>
                <w:highlight w:val="none"/>
                <w:u w:val="none"/>
                <w:lang w:val="en-US"/>
              </w:rPr>
            </w:pPr>
            <w:r>
              <w:rPr>
                <w:rFonts w:hint="eastAsia" w:cs="仿宋"/>
                <w:b w:val="0"/>
                <w:bCs w:val="0"/>
                <w:highlight w:val="none"/>
                <w:u w:val="none"/>
              </w:rPr>
              <w:t>　</w:t>
            </w:r>
          </w:p>
        </w:tc>
        <w:tc>
          <w:tcPr>
            <w:tcW w:w="887" w:type="dxa"/>
            <w:tcBorders>
              <w:top w:val="nil"/>
              <w:left w:val="nil"/>
              <w:bottom w:val="single" w:color="auto" w:sz="8" w:space="0"/>
              <w:right w:val="single" w:color="auto" w:sz="8" w:space="0"/>
            </w:tcBorders>
            <w:shd w:val="clear" w:color="auto" w:fill="auto"/>
            <w:vAlign w:val="center"/>
          </w:tcPr>
          <w:p w14:paraId="7FC7D90E">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台</w:t>
            </w:r>
          </w:p>
        </w:tc>
        <w:tc>
          <w:tcPr>
            <w:tcW w:w="820" w:type="dxa"/>
            <w:tcBorders>
              <w:top w:val="nil"/>
              <w:left w:val="nil"/>
              <w:bottom w:val="single" w:color="auto" w:sz="8" w:space="0"/>
              <w:right w:val="single" w:color="auto" w:sz="4" w:space="0"/>
            </w:tcBorders>
            <w:shd w:val="clear" w:color="auto" w:fill="auto"/>
            <w:vAlign w:val="center"/>
          </w:tcPr>
          <w:p w14:paraId="40C6023D">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49</w:t>
            </w:r>
          </w:p>
        </w:tc>
        <w:tc>
          <w:tcPr>
            <w:tcW w:w="1430" w:type="dxa"/>
            <w:tcBorders>
              <w:top w:val="nil"/>
              <w:left w:val="nil"/>
              <w:bottom w:val="single" w:color="auto" w:sz="8" w:space="0"/>
              <w:right w:val="single" w:color="auto" w:sz="4" w:space="0"/>
            </w:tcBorders>
            <w:shd w:val="clear" w:color="auto" w:fill="auto"/>
            <w:vAlign w:val="center"/>
          </w:tcPr>
          <w:p w14:paraId="0CDC34C6">
            <w:pPr>
              <w:spacing w:line="400" w:lineRule="exact"/>
              <w:ind w:firstLine="560"/>
              <w:rPr>
                <w:rFonts w:hint="eastAsia" w:cs="仿宋"/>
                <w:b w:val="0"/>
                <w:bCs w:val="0"/>
                <w:highlight w:val="none"/>
                <w:u w:val="none"/>
                <w:lang w:val="en-US"/>
              </w:rPr>
            </w:pPr>
          </w:p>
        </w:tc>
        <w:tc>
          <w:tcPr>
            <w:tcW w:w="1430" w:type="dxa"/>
            <w:tcBorders>
              <w:top w:val="nil"/>
              <w:left w:val="single" w:color="auto" w:sz="4" w:space="0"/>
              <w:bottom w:val="single" w:color="auto" w:sz="8" w:space="0"/>
              <w:right w:val="single" w:color="auto" w:sz="4" w:space="0"/>
            </w:tcBorders>
            <w:shd w:val="clear" w:color="auto" w:fill="auto"/>
            <w:vAlign w:val="center"/>
          </w:tcPr>
          <w:p w14:paraId="7DB12F29">
            <w:pPr>
              <w:spacing w:line="400" w:lineRule="exact"/>
              <w:ind w:firstLine="560"/>
              <w:rPr>
                <w:rFonts w:hint="eastAsia" w:cs="仿宋"/>
                <w:b w:val="0"/>
                <w:bCs w:val="0"/>
                <w:highlight w:val="none"/>
                <w:u w:val="none"/>
                <w:lang w:val="en-US"/>
              </w:rPr>
            </w:pPr>
          </w:p>
        </w:tc>
        <w:tc>
          <w:tcPr>
            <w:tcW w:w="991" w:type="dxa"/>
            <w:tcBorders>
              <w:top w:val="nil"/>
              <w:left w:val="single" w:color="auto" w:sz="4" w:space="0"/>
              <w:bottom w:val="single" w:color="auto" w:sz="8" w:space="0"/>
              <w:right w:val="single" w:color="auto" w:sz="8" w:space="0"/>
            </w:tcBorders>
            <w:shd w:val="clear" w:color="auto" w:fill="auto"/>
            <w:vAlign w:val="center"/>
          </w:tcPr>
          <w:p w14:paraId="63A81751">
            <w:pPr>
              <w:spacing w:line="400" w:lineRule="exact"/>
              <w:ind w:firstLine="560"/>
              <w:rPr>
                <w:rFonts w:hint="eastAsia" w:cs="仿宋"/>
                <w:b w:val="0"/>
                <w:bCs w:val="0"/>
                <w:highlight w:val="none"/>
                <w:u w:val="none"/>
                <w:lang w:val="en-US"/>
              </w:rPr>
            </w:pPr>
          </w:p>
        </w:tc>
      </w:tr>
    </w:tbl>
    <w:p w14:paraId="09528689">
      <w:pPr>
        <w:spacing w:line="400" w:lineRule="exact"/>
        <w:ind w:left="0" w:leftChars="0" w:firstLine="560" w:firstLineChars="200"/>
        <w:rPr>
          <w:rFonts w:hint="eastAsia" w:cs="仿宋"/>
          <w:b w:val="0"/>
          <w:bCs w:val="0"/>
          <w:highlight w:val="none"/>
          <w:u w:val="none"/>
        </w:rPr>
      </w:pPr>
      <w:r>
        <w:rPr>
          <w:rFonts w:hint="eastAsia" w:cs="仿宋"/>
          <w:b w:val="0"/>
          <w:bCs w:val="0"/>
          <w:highlight w:val="none"/>
          <w:u w:val="none"/>
          <w:lang w:val="en-US" w:eastAsia="zh-CN"/>
        </w:rPr>
        <w:t>六</w:t>
      </w:r>
      <w:r>
        <w:rPr>
          <w:rFonts w:hint="eastAsia" w:cs="仿宋"/>
          <w:b w:val="0"/>
          <w:bCs w:val="0"/>
          <w:highlight w:val="none"/>
          <w:u w:val="none"/>
        </w:rPr>
        <w:t>、双方权利义务</w:t>
      </w:r>
    </w:p>
    <w:p w14:paraId="6FE31C1B">
      <w:pPr>
        <w:spacing w:line="400" w:lineRule="exact"/>
        <w:ind w:firstLine="560"/>
        <w:rPr>
          <w:rFonts w:hint="eastAsia" w:cs="仿宋"/>
          <w:b w:val="0"/>
          <w:bCs w:val="0"/>
          <w:highlight w:val="none"/>
          <w:u w:val="none"/>
        </w:rPr>
      </w:pPr>
      <w:r>
        <w:rPr>
          <w:rFonts w:hint="eastAsia" w:cs="仿宋"/>
          <w:b w:val="0"/>
          <w:bCs w:val="0"/>
          <w:highlight w:val="none"/>
          <w:u w:val="none"/>
        </w:rPr>
        <w:t>甲方权利与义务：</w:t>
      </w:r>
    </w:p>
    <w:p w14:paraId="2BD65F8B">
      <w:pPr>
        <w:spacing w:line="400" w:lineRule="exact"/>
        <w:ind w:firstLine="560"/>
        <w:rPr>
          <w:rFonts w:hint="eastAsia" w:cs="仿宋"/>
          <w:b w:val="0"/>
          <w:bCs w:val="0"/>
          <w:highlight w:val="none"/>
          <w:u w:val="none"/>
        </w:rPr>
      </w:pPr>
      <w:r>
        <w:rPr>
          <w:rFonts w:hint="eastAsia" w:cs="仿宋"/>
          <w:b w:val="0"/>
          <w:bCs w:val="0"/>
          <w:highlight w:val="none"/>
          <w:u w:val="none"/>
        </w:rPr>
        <w:t>1.甲方负责向乙方提供冰箱验收后的使用情况等信息。总务科负责监督质保期内冰箱故障报修及跟踪（电话：56232027）；</w:t>
      </w:r>
    </w:p>
    <w:p w14:paraId="6E83627F">
      <w:pPr>
        <w:spacing w:line="400" w:lineRule="exact"/>
        <w:ind w:firstLine="560"/>
        <w:rPr>
          <w:rFonts w:hint="eastAsia" w:cs="仿宋"/>
          <w:b w:val="0"/>
          <w:bCs w:val="0"/>
          <w:highlight w:val="none"/>
          <w:u w:val="none"/>
        </w:rPr>
      </w:pPr>
      <w:r>
        <w:rPr>
          <w:rFonts w:hint="eastAsia" w:cs="仿宋"/>
          <w:b w:val="0"/>
          <w:bCs w:val="0"/>
          <w:highlight w:val="none"/>
          <w:u w:val="none"/>
        </w:rPr>
        <w:t>2.在冰箱出现故障时应及时通知乙方，并在乙方维修过程中提供力所能及的便利条件；</w:t>
      </w:r>
    </w:p>
    <w:p w14:paraId="2744BC57">
      <w:pPr>
        <w:spacing w:line="400" w:lineRule="exact"/>
        <w:ind w:firstLine="560"/>
        <w:rPr>
          <w:rFonts w:hint="eastAsia" w:cs="仿宋"/>
          <w:b w:val="0"/>
          <w:bCs w:val="0"/>
          <w:highlight w:val="none"/>
          <w:u w:val="none"/>
        </w:rPr>
      </w:pPr>
      <w:r>
        <w:rPr>
          <w:rFonts w:hint="eastAsia" w:cs="仿宋"/>
          <w:b w:val="0"/>
          <w:bCs w:val="0"/>
          <w:highlight w:val="none"/>
          <w:u w:val="none"/>
        </w:rPr>
        <w:t>乙方权利与义务：</w:t>
      </w:r>
    </w:p>
    <w:p w14:paraId="7055B7FC">
      <w:pPr>
        <w:spacing w:line="400" w:lineRule="exact"/>
        <w:ind w:firstLine="560"/>
        <w:rPr>
          <w:rFonts w:hint="eastAsia" w:cs="仿宋"/>
          <w:b w:val="0"/>
          <w:bCs w:val="0"/>
          <w:highlight w:val="none"/>
          <w:u w:val="none"/>
        </w:rPr>
      </w:pPr>
      <w:r>
        <w:rPr>
          <w:rFonts w:hint="eastAsia" w:cs="仿宋"/>
          <w:b w:val="0"/>
          <w:bCs w:val="0"/>
          <w:highlight w:val="none"/>
          <w:u w:val="none"/>
        </w:rPr>
        <w:t>1.乙方负责质保期内冰箱的维修维保事宜，确保甲方空调正常使用；</w:t>
      </w:r>
    </w:p>
    <w:p w14:paraId="07F8A194">
      <w:pPr>
        <w:spacing w:line="400" w:lineRule="exact"/>
        <w:ind w:firstLine="560"/>
        <w:rPr>
          <w:rFonts w:hint="eastAsia" w:cs="仿宋"/>
          <w:b w:val="0"/>
          <w:bCs w:val="0"/>
          <w:highlight w:val="none"/>
          <w:u w:val="none"/>
        </w:rPr>
      </w:pPr>
      <w:r>
        <w:rPr>
          <w:rFonts w:hint="eastAsia" w:cs="仿宋"/>
          <w:b w:val="0"/>
          <w:bCs w:val="0"/>
          <w:highlight w:val="none"/>
          <w:u w:val="none"/>
        </w:rPr>
        <w:t>2.冰箱供货、质保期及售后服务的整个过程中，因乙方原因导致甲方第三人人身或财产受到损害的，由乙方承担损害赔偿责任；</w:t>
      </w:r>
    </w:p>
    <w:p w14:paraId="005276B1">
      <w:pPr>
        <w:spacing w:line="400" w:lineRule="exact"/>
        <w:ind w:firstLine="560"/>
        <w:rPr>
          <w:rFonts w:hint="eastAsia" w:eastAsia="仿宋" w:cs="仿宋"/>
          <w:b w:val="0"/>
          <w:bCs w:val="0"/>
          <w:color w:val="000000"/>
          <w:highlight w:val="none"/>
          <w:u w:val="none"/>
          <w:lang w:val="en-US" w:eastAsia="zh-CN"/>
        </w:rPr>
      </w:pPr>
      <w:r>
        <w:rPr>
          <w:rFonts w:hint="eastAsia" w:cs="仿宋"/>
          <w:b w:val="0"/>
          <w:bCs w:val="0"/>
          <w:highlight w:val="none"/>
          <w:u w:val="none"/>
        </w:rPr>
        <w:t>3. 乙方需为冰箱供货、质保期及售后服务购买相关足额保险费。</w:t>
      </w:r>
    </w:p>
    <w:p w14:paraId="54A8ED9A">
      <w:pPr>
        <w:pStyle w:val="20"/>
        <w:spacing w:line="400" w:lineRule="exact"/>
        <w:rPr>
          <w:rFonts w:hint="eastAsia" w:ascii="仿宋" w:hAnsi="仿宋" w:eastAsia="仿宋" w:cs="仿宋"/>
          <w:b/>
          <w:bCs/>
          <w:sz w:val="36"/>
          <w:szCs w:val="36"/>
          <w:highlight w:val="none"/>
          <w:lang w:val="en-US" w:eastAsia="zh-CN"/>
        </w:rPr>
      </w:pPr>
      <w:r>
        <w:rPr>
          <w:rFonts w:hint="eastAsia" w:ascii="仿宋" w:hAnsi="仿宋" w:eastAsia="仿宋" w:cs="仿宋"/>
          <w:sz w:val="28"/>
          <w:szCs w:val="28"/>
          <w:highlight w:val="none"/>
          <w:lang w:val="en-US" w:eastAsia="zh-CN"/>
        </w:rPr>
        <w:t xml:space="preserve">                 </w:t>
      </w:r>
    </w:p>
    <w:p w14:paraId="2C174D56">
      <w:pPr>
        <w:pStyle w:val="20"/>
        <w:numPr>
          <w:ilvl w:val="0"/>
          <w:numId w:val="4"/>
        </w:numPr>
        <w:spacing w:line="400" w:lineRule="exact"/>
        <w:ind w:left="2610" w:leftChars="0" w:firstLine="0" w:firstLineChars="0"/>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 xml:space="preserve">  响应文件的编制</w:t>
      </w:r>
    </w:p>
    <w:p w14:paraId="3BE63589">
      <w:pPr>
        <w:pStyle w:val="20"/>
        <w:numPr>
          <w:numId w:val="0"/>
        </w:numPr>
        <w:spacing w:line="400" w:lineRule="exact"/>
        <w:ind w:left="2610" w:leftChars="0"/>
        <w:rPr>
          <w:rFonts w:hint="eastAsia" w:ascii="仿宋" w:hAnsi="仿宋" w:eastAsia="仿宋" w:cs="仿宋"/>
          <w:b/>
          <w:bCs/>
          <w:sz w:val="36"/>
          <w:szCs w:val="36"/>
          <w:highlight w:val="none"/>
          <w:lang w:val="en-US" w:eastAsia="zh-CN"/>
        </w:rPr>
      </w:pPr>
    </w:p>
    <w:p w14:paraId="7F76B9B8">
      <w:pPr>
        <w:pStyle w:val="20"/>
        <w:numPr>
          <w:numId w:val="0"/>
        </w:numPr>
        <w:spacing w:line="400" w:lineRule="exact"/>
        <w:ind w:left="2610" w:leftChars="0" w:firstLine="1807" w:firstLineChars="500"/>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目录页</w:t>
      </w:r>
    </w:p>
    <w:p w14:paraId="4DCF3993">
      <w:pPr>
        <w:pStyle w:val="20"/>
        <w:numPr>
          <w:ilvl w:val="0"/>
          <w:numId w:val="5"/>
        </w:numPr>
        <w:spacing w:line="400" w:lineRule="exact"/>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资质审查表</w:t>
      </w:r>
    </w:p>
    <w:p w14:paraId="4AEB75DF">
      <w:pPr>
        <w:pStyle w:val="20"/>
        <w:numPr>
          <w:ilvl w:val="0"/>
          <w:numId w:val="5"/>
        </w:numPr>
        <w:spacing w:line="400" w:lineRule="exact"/>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报价一览表</w:t>
      </w:r>
    </w:p>
    <w:p w14:paraId="01E6E0B2">
      <w:pPr>
        <w:pStyle w:val="20"/>
        <w:numPr>
          <w:ilvl w:val="0"/>
          <w:numId w:val="5"/>
        </w:numPr>
        <w:spacing w:line="400" w:lineRule="exact"/>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服务条款偏离表</w:t>
      </w:r>
    </w:p>
    <w:p w14:paraId="53A4A868">
      <w:pPr>
        <w:pStyle w:val="20"/>
        <w:numPr>
          <w:ilvl w:val="0"/>
          <w:numId w:val="5"/>
        </w:numPr>
        <w:spacing w:line="400" w:lineRule="exact"/>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业绩材料</w:t>
      </w:r>
    </w:p>
    <w:p w14:paraId="2D126CF3">
      <w:pPr>
        <w:pStyle w:val="20"/>
        <w:numPr>
          <w:ilvl w:val="0"/>
          <w:numId w:val="5"/>
        </w:numPr>
        <w:spacing w:line="400" w:lineRule="exact"/>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其他与本项目相关的材料</w:t>
      </w:r>
    </w:p>
    <w:p w14:paraId="32C38FA2">
      <w:pPr>
        <w:pStyle w:val="20"/>
        <w:numPr>
          <w:numId w:val="0"/>
        </w:numPr>
        <w:spacing w:line="400" w:lineRule="exact"/>
        <w:rPr>
          <w:rFonts w:hint="default" w:ascii="仿宋" w:hAnsi="仿宋" w:eastAsia="仿宋" w:cs="仿宋"/>
          <w:b/>
          <w:bCs/>
          <w:sz w:val="36"/>
          <w:szCs w:val="36"/>
          <w:highlight w:val="none"/>
          <w:lang w:val="en-US" w:eastAsia="zh-CN"/>
        </w:rPr>
      </w:pPr>
    </w:p>
    <w:tbl>
      <w:tblPr>
        <w:tblStyle w:val="16"/>
        <w:tblW w:w="9966"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0"/>
        <w:gridCol w:w="3424"/>
        <w:gridCol w:w="1582"/>
      </w:tblGrid>
      <w:tr w14:paraId="1582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vAlign w:val="center"/>
          </w:tcPr>
          <w:p w14:paraId="47620443">
            <w:pPr>
              <w:spacing w:line="400" w:lineRule="exact"/>
              <w:ind w:firstLine="1120" w:firstLineChars="400"/>
              <w:rPr>
                <w:rFonts w:cs="仿宋"/>
                <w:b w:val="0"/>
                <w:bCs w:val="0"/>
                <w:u w:val="none"/>
              </w:rPr>
            </w:pPr>
            <w:r>
              <w:rPr>
                <w:rFonts w:hint="eastAsia" w:cs="仿宋"/>
                <w:b w:val="0"/>
                <w:bCs w:val="0"/>
                <w:u w:val="none"/>
              </w:rPr>
              <w:t>资质审核项目</w:t>
            </w:r>
          </w:p>
        </w:tc>
        <w:tc>
          <w:tcPr>
            <w:tcW w:w="3424" w:type="dxa"/>
            <w:vAlign w:val="center"/>
          </w:tcPr>
          <w:p w14:paraId="110A1F39">
            <w:pPr>
              <w:spacing w:line="400" w:lineRule="exact"/>
              <w:ind w:firstLine="0" w:firstLineChars="0"/>
              <w:rPr>
                <w:rFonts w:cs="仿宋"/>
                <w:b w:val="0"/>
                <w:bCs w:val="0"/>
                <w:u w:val="none"/>
              </w:rPr>
            </w:pPr>
            <w:r>
              <w:rPr>
                <w:rFonts w:hint="eastAsia" w:cs="仿宋"/>
                <w:b w:val="0"/>
                <w:bCs w:val="0"/>
                <w:u w:val="none"/>
              </w:rPr>
              <w:t>在响应文件中的页码位置</w:t>
            </w:r>
          </w:p>
        </w:tc>
        <w:tc>
          <w:tcPr>
            <w:tcW w:w="1582" w:type="dxa"/>
            <w:vAlign w:val="center"/>
          </w:tcPr>
          <w:p w14:paraId="38930814">
            <w:pPr>
              <w:spacing w:line="400" w:lineRule="exact"/>
              <w:ind w:firstLine="280" w:firstLineChars="100"/>
              <w:rPr>
                <w:rFonts w:cs="仿宋"/>
                <w:b w:val="0"/>
                <w:bCs w:val="0"/>
                <w:u w:val="none"/>
              </w:rPr>
            </w:pPr>
            <w:r>
              <w:rPr>
                <w:rFonts w:hint="eastAsia" w:cs="仿宋"/>
                <w:b w:val="0"/>
                <w:bCs w:val="0"/>
                <w:u w:val="none"/>
              </w:rPr>
              <w:t>备注</w:t>
            </w:r>
          </w:p>
        </w:tc>
      </w:tr>
      <w:tr w14:paraId="0DF9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4F2AD57D">
            <w:pPr>
              <w:spacing w:line="400" w:lineRule="exact"/>
              <w:ind w:left="0" w:leftChars="0" w:firstLine="0" w:firstLineChars="0"/>
              <w:rPr>
                <w:rFonts w:cs="仿宋"/>
                <w:b w:val="0"/>
                <w:bCs w:val="0"/>
                <w:u w:val="none"/>
              </w:rPr>
            </w:pPr>
            <w:r>
              <w:rPr>
                <w:rFonts w:hint="eastAsia" w:cs="仿宋"/>
                <w:b w:val="0"/>
                <w:bCs w:val="0"/>
                <w:color w:val="000000"/>
                <w:kern w:val="0"/>
                <w:highlight w:val="none"/>
                <w:u w:val="none"/>
              </w:rPr>
              <w:t>生产商营业执照</w:t>
            </w:r>
          </w:p>
        </w:tc>
        <w:tc>
          <w:tcPr>
            <w:tcW w:w="3424" w:type="dxa"/>
          </w:tcPr>
          <w:p w14:paraId="072FA4E0">
            <w:pPr>
              <w:spacing w:line="400" w:lineRule="exact"/>
              <w:ind w:firstLine="560"/>
              <w:rPr>
                <w:rFonts w:cs="仿宋"/>
                <w:b w:val="0"/>
                <w:bCs w:val="0"/>
                <w:u w:val="none"/>
              </w:rPr>
            </w:pPr>
          </w:p>
        </w:tc>
        <w:tc>
          <w:tcPr>
            <w:tcW w:w="1582" w:type="dxa"/>
          </w:tcPr>
          <w:p w14:paraId="4A059FAD">
            <w:pPr>
              <w:spacing w:line="400" w:lineRule="exact"/>
              <w:ind w:firstLine="560"/>
              <w:rPr>
                <w:rFonts w:cs="仿宋"/>
                <w:b w:val="0"/>
                <w:bCs w:val="0"/>
                <w:u w:val="none"/>
              </w:rPr>
            </w:pPr>
          </w:p>
        </w:tc>
      </w:tr>
      <w:tr w14:paraId="4458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59A0B238">
            <w:pPr>
              <w:spacing w:line="400" w:lineRule="exact"/>
              <w:ind w:firstLine="0" w:firstLineChars="0"/>
              <w:rPr>
                <w:rFonts w:hint="default" w:eastAsia="仿宋" w:cs="仿宋"/>
                <w:b w:val="0"/>
                <w:bCs w:val="0"/>
                <w:u w:val="none"/>
                <w:lang w:val="en-US" w:eastAsia="zh-CN"/>
              </w:rPr>
            </w:pPr>
            <w:r>
              <w:rPr>
                <w:rFonts w:hint="eastAsia" w:cs="仿宋"/>
                <w:b w:val="0"/>
                <w:bCs w:val="0"/>
                <w:u w:val="none"/>
                <w:lang w:val="en-US" w:eastAsia="zh-CN"/>
              </w:rPr>
              <w:t>生产商生产许可证</w:t>
            </w:r>
          </w:p>
        </w:tc>
        <w:tc>
          <w:tcPr>
            <w:tcW w:w="3424" w:type="dxa"/>
          </w:tcPr>
          <w:p w14:paraId="3DEE845E">
            <w:pPr>
              <w:spacing w:line="400" w:lineRule="exact"/>
              <w:ind w:firstLine="560"/>
              <w:rPr>
                <w:rFonts w:cs="仿宋"/>
                <w:b w:val="0"/>
                <w:bCs w:val="0"/>
                <w:u w:val="none"/>
              </w:rPr>
            </w:pPr>
          </w:p>
        </w:tc>
        <w:tc>
          <w:tcPr>
            <w:tcW w:w="1582" w:type="dxa"/>
          </w:tcPr>
          <w:p w14:paraId="79C46344">
            <w:pPr>
              <w:spacing w:line="400" w:lineRule="exact"/>
              <w:ind w:firstLine="560"/>
              <w:rPr>
                <w:rFonts w:cs="仿宋"/>
                <w:b w:val="0"/>
                <w:bCs w:val="0"/>
                <w:u w:val="none"/>
              </w:rPr>
            </w:pPr>
          </w:p>
        </w:tc>
      </w:tr>
      <w:tr w14:paraId="125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28D979F5">
            <w:pPr>
              <w:spacing w:line="400" w:lineRule="exact"/>
              <w:ind w:firstLine="0" w:firstLineChars="0"/>
              <w:rPr>
                <w:rFonts w:hint="default" w:eastAsia="仿宋" w:cs="仿宋"/>
                <w:b w:val="0"/>
                <w:bCs w:val="0"/>
                <w:u w:val="none"/>
                <w:lang w:val="en-US" w:eastAsia="zh-CN"/>
              </w:rPr>
            </w:pPr>
            <w:r>
              <w:rPr>
                <w:rFonts w:hint="eastAsia" w:cs="仿宋"/>
                <w:b w:val="0"/>
                <w:bCs w:val="0"/>
                <w:u w:val="none"/>
                <w:lang w:val="en-US" w:eastAsia="zh-CN"/>
              </w:rPr>
              <w:t>供应商营业执照</w:t>
            </w:r>
          </w:p>
        </w:tc>
        <w:tc>
          <w:tcPr>
            <w:tcW w:w="3424" w:type="dxa"/>
          </w:tcPr>
          <w:p w14:paraId="1DAE8E6C">
            <w:pPr>
              <w:spacing w:line="400" w:lineRule="exact"/>
              <w:ind w:firstLine="560"/>
              <w:rPr>
                <w:rFonts w:cs="仿宋"/>
                <w:b w:val="0"/>
                <w:bCs w:val="0"/>
                <w:u w:val="none"/>
              </w:rPr>
            </w:pPr>
          </w:p>
        </w:tc>
        <w:tc>
          <w:tcPr>
            <w:tcW w:w="1582" w:type="dxa"/>
          </w:tcPr>
          <w:p w14:paraId="779B941E">
            <w:pPr>
              <w:spacing w:line="400" w:lineRule="exact"/>
              <w:ind w:firstLine="560"/>
              <w:rPr>
                <w:rFonts w:cs="仿宋"/>
                <w:b w:val="0"/>
                <w:bCs w:val="0"/>
                <w:u w:val="none"/>
              </w:rPr>
            </w:pPr>
          </w:p>
        </w:tc>
      </w:tr>
    </w:tbl>
    <w:p w14:paraId="2C26EE81">
      <w:pPr>
        <w:pStyle w:val="20"/>
        <w:spacing w:line="400" w:lineRule="exact"/>
        <w:rPr>
          <w:rFonts w:hint="eastAsia" w:ascii="仿宋" w:hAnsi="仿宋" w:eastAsia="仿宋" w:cs="仿宋"/>
          <w:b/>
          <w:bCs/>
          <w:sz w:val="28"/>
          <w:szCs w:val="28"/>
          <w:highlight w:val="none"/>
        </w:rPr>
      </w:pPr>
    </w:p>
    <w:p w14:paraId="3D3E2340">
      <w:pPr>
        <w:pStyle w:val="20"/>
        <w:spacing w:line="400" w:lineRule="exact"/>
        <w:rPr>
          <w:rFonts w:hint="eastAsia" w:ascii="仿宋" w:hAnsi="仿宋" w:eastAsia="仿宋" w:cs="仿宋"/>
          <w:b/>
          <w:bCs/>
          <w:sz w:val="28"/>
          <w:szCs w:val="28"/>
          <w:highlight w:val="none"/>
        </w:rPr>
      </w:pPr>
    </w:p>
    <w:p w14:paraId="2F19442B">
      <w:pPr>
        <w:pStyle w:val="20"/>
        <w:spacing w:line="400" w:lineRule="exact"/>
        <w:rPr>
          <w:rFonts w:hint="eastAsia" w:ascii="仿宋" w:hAnsi="仿宋" w:eastAsia="仿宋" w:cs="仿宋"/>
          <w:b/>
          <w:bCs/>
          <w:sz w:val="28"/>
          <w:szCs w:val="28"/>
          <w:highlight w:val="none"/>
        </w:rPr>
      </w:pPr>
    </w:p>
    <w:p w14:paraId="5E4F83E5">
      <w:pPr>
        <w:pStyle w:val="20"/>
        <w:spacing w:line="400" w:lineRule="exact"/>
        <w:rPr>
          <w:rFonts w:hint="eastAsia" w:ascii="仿宋" w:hAnsi="仿宋" w:eastAsia="仿宋" w:cs="仿宋"/>
          <w:b/>
          <w:bCs/>
          <w:sz w:val="28"/>
          <w:szCs w:val="28"/>
          <w:highlight w:val="none"/>
        </w:rPr>
      </w:pPr>
    </w:p>
    <w:p w14:paraId="0D883725">
      <w:pPr>
        <w:pStyle w:val="20"/>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 报价一览表</w:t>
      </w:r>
    </w:p>
    <w:p w14:paraId="3DB83BB7">
      <w:pPr>
        <w:pStyle w:val="20"/>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lang w:val="en-US" w:eastAsia="zh-CN"/>
        </w:rPr>
        <w:t>49台冰箱批量采购</w:t>
      </w:r>
      <w:r>
        <w:rPr>
          <w:rFonts w:hint="eastAsia" w:ascii="仿宋" w:hAnsi="仿宋" w:eastAsia="仿宋" w:cs="仿宋"/>
          <w:b/>
          <w:bCs/>
          <w:sz w:val="28"/>
          <w:szCs w:val="28"/>
          <w:highlight w:val="none"/>
        </w:rPr>
        <w:t>项目</w:t>
      </w:r>
    </w:p>
    <w:p w14:paraId="5FD7BAF0">
      <w:pPr>
        <w:pStyle w:val="20"/>
        <w:spacing w:line="400" w:lineRule="exac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项目编号：LSRY-</w:t>
      </w:r>
      <w:r>
        <w:rPr>
          <w:rFonts w:hint="eastAsia" w:ascii="仿宋" w:hAnsi="仿宋" w:eastAsia="仿宋" w:cs="仿宋"/>
          <w:b/>
          <w:bCs/>
          <w:sz w:val="28"/>
          <w:szCs w:val="28"/>
          <w:highlight w:val="none"/>
          <w:lang w:eastAsia="zh-CN"/>
        </w:rPr>
        <w:t>ZB2025-Z00</w:t>
      </w:r>
      <w:r>
        <w:rPr>
          <w:rFonts w:hint="eastAsia" w:ascii="仿宋" w:hAnsi="仿宋" w:eastAsia="仿宋" w:cs="仿宋"/>
          <w:b/>
          <w:bCs/>
          <w:sz w:val="28"/>
          <w:szCs w:val="28"/>
          <w:highlight w:val="none"/>
          <w:lang w:val="en-US" w:eastAsia="zh-CN"/>
        </w:rPr>
        <w:t>2</w:t>
      </w:r>
    </w:p>
    <w:tbl>
      <w:tblPr>
        <w:tblStyle w:val="16"/>
        <w:tblW w:w="10619" w:type="dxa"/>
        <w:jc w:val="center"/>
        <w:tblLayout w:type="fixed"/>
        <w:tblCellMar>
          <w:top w:w="0" w:type="dxa"/>
          <w:left w:w="108" w:type="dxa"/>
          <w:bottom w:w="0" w:type="dxa"/>
          <w:right w:w="108" w:type="dxa"/>
        </w:tblCellMar>
      </w:tblPr>
      <w:tblGrid>
        <w:gridCol w:w="2083"/>
        <w:gridCol w:w="1575"/>
        <w:gridCol w:w="1403"/>
        <w:gridCol w:w="887"/>
        <w:gridCol w:w="820"/>
        <w:gridCol w:w="1430"/>
        <w:gridCol w:w="1430"/>
        <w:gridCol w:w="991"/>
      </w:tblGrid>
      <w:tr w14:paraId="1851CC48">
        <w:tblPrEx>
          <w:tblCellMar>
            <w:top w:w="0" w:type="dxa"/>
            <w:left w:w="108" w:type="dxa"/>
            <w:bottom w:w="0" w:type="dxa"/>
            <w:right w:w="108" w:type="dxa"/>
          </w:tblCellMar>
        </w:tblPrEx>
        <w:trPr>
          <w:trHeight w:val="527" w:hRule="atLeast"/>
          <w:jc w:val="center"/>
        </w:trPr>
        <w:tc>
          <w:tcPr>
            <w:tcW w:w="2083"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5F64DD4C">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项目名称</w:t>
            </w:r>
          </w:p>
        </w:tc>
        <w:tc>
          <w:tcPr>
            <w:tcW w:w="1575"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D20E3A9">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规格</w:t>
            </w:r>
          </w:p>
        </w:tc>
        <w:tc>
          <w:tcPr>
            <w:tcW w:w="1403"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18C14230">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品牌型号</w:t>
            </w:r>
          </w:p>
        </w:tc>
        <w:tc>
          <w:tcPr>
            <w:tcW w:w="887"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42A18CC">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单位</w:t>
            </w:r>
          </w:p>
        </w:tc>
        <w:tc>
          <w:tcPr>
            <w:tcW w:w="82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1E0859D7">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数量</w:t>
            </w:r>
          </w:p>
        </w:tc>
        <w:tc>
          <w:tcPr>
            <w:tcW w:w="143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22845AAD">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单价（元）</w:t>
            </w:r>
          </w:p>
        </w:tc>
        <w:tc>
          <w:tcPr>
            <w:tcW w:w="1430" w:type="dxa"/>
            <w:tcBorders>
              <w:top w:val="single" w:color="auto" w:sz="8" w:space="0"/>
              <w:left w:val="single" w:color="auto" w:sz="4" w:space="0"/>
              <w:bottom w:val="single" w:color="auto" w:sz="8" w:space="0"/>
              <w:right w:val="single" w:color="auto" w:sz="4" w:space="0"/>
            </w:tcBorders>
            <w:shd w:val="clear" w:color="auto" w:fill="C7E4B3" w:themeFill="accent4" w:themeFillTint="66"/>
            <w:vAlign w:val="center"/>
          </w:tcPr>
          <w:p w14:paraId="20FF1DD0">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总价（元）</w:t>
            </w:r>
          </w:p>
        </w:tc>
        <w:tc>
          <w:tcPr>
            <w:tcW w:w="991" w:type="dxa"/>
            <w:tcBorders>
              <w:top w:val="single" w:color="auto" w:sz="8" w:space="0"/>
              <w:left w:val="single" w:color="auto" w:sz="4" w:space="0"/>
              <w:bottom w:val="single" w:color="auto" w:sz="8" w:space="0"/>
              <w:right w:val="single" w:color="auto" w:sz="8" w:space="0"/>
            </w:tcBorders>
            <w:shd w:val="clear" w:color="auto" w:fill="C7E4B3" w:themeFill="accent4" w:themeFillTint="66"/>
            <w:vAlign w:val="center"/>
          </w:tcPr>
          <w:p w14:paraId="6FA472E8">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lang w:val="en-US"/>
              </w:rPr>
              <w:t>备注</w:t>
            </w:r>
          </w:p>
        </w:tc>
      </w:tr>
      <w:tr w14:paraId="0076411E">
        <w:tblPrEx>
          <w:tblCellMar>
            <w:top w:w="0" w:type="dxa"/>
            <w:left w:w="108" w:type="dxa"/>
            <w:bottom w:w="0" w:type="dxa"/>
            <w:right w:w="108" w:type="dxa"/>
          </w:tblCellMar>
        </w:tblPrEx>
        <w:trPr>
          <w:trHeight w:val="548" w:hRule="atLeast"/>
          <w:jc w:val="center"/>
        </w:trPr>
        <w:tc>
          <w:tcPr>
            <w:tcW w:w="2083" w:type="dxa"/>
            <w:tcBorders>
              <w:top w:val="nil"/>
              <w:left w:val="single" w:color="auto" w:sz="8" w:space="0"/>
              <w:bottom w:val="single" w:color="auto" w:sz="8" w:space="0"/>
              <w:right w:val="single" w:color="auto" w:sz="8" w:space="0"/>
            </w:tcBorders>
            <w:shd w:val="clear" w:color="auto" w:fill="auto"/>
            <w:vAlign w:val="center"/>
          </w:tcPr>
          <w:p w14:paraId="6587CA54">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单开两门冰箱</w:t>
            </w:r>
          </w:p>
        </w:tc>
        <w:tc>
          <w:tcPr>
            <w:tcW w:w="1575" w:type="dxa"/>
            <w:tcBorders>
              <w:top w:val="nil"/>
              <w:left w:val="nil"/>
              <w:bottom w:val="single" w:color="auto" w:sz="8" w:space="0"/>
              <w:right w:val="single" w:color="auto" w:sz="8" w:space="0"/>
            </w:tcBorders>
            <w:shd w:val="clear" w:color="auto" w:fill="auto"/>
            <w:vAlign w:val="center"/>
          </w:tcPr>
          <w:p w14:paraId="6C287790">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58L-60L</w:t>
            </w:r>
          </w:p>
        </w:tc>
        <w:tc>
          <w:tcPr>
            <w:tcW w:w="1403" w:type="dxa"/>
            <w:tcBorders>
              <w:top w:val="nil"/>
              <w:left w:val="nil"/>
              <w:bottom w:val="single" w:color="auto" w:sz="8" w:space="0"/>
              <w:right w:val="single" w:color="auto" w:sz="8" w:space="0"/>
            </w:tcBorders>
            <w:shd w:val="clear" w:color="auto" w:fill="auto"/>
            <w:vAlign w:val="center"/>
          </w:tcPr>
          <w:p w14:paraId="7CFC402F">
            <w:pPr>
              <w:spacing w:line="400" w:lineRule="exact"/>
              <w:ind w:firstLine="560"/>
              <w:rPr>
                <w:rFonts w:hint="eastAsia" w:cs="仿宋"/>
                <w:b w:val="0"/>
                <w:bCs w:val="0"/>
                <w:highlight w:val="none"/>
                <w:u w:val="none"/>
                <w:lang w:val="en-US"/>
              </w:rPr>
            </w:pPr>
            <w:r>
              <w:rPr>
                <w:rFonts w:hint="eastAsia" w:cs="仿宋"/>
                <w:b w:val="0"/>
                <w:bCs w:val="0"/>
                <w:highlight w:val="none"/>
                <w:u w:val="none"/>
              </w:rPr>
              <w:t>　</w:t>
            </w:r>
          </w:p>
        </w:tc>
        <w:tc>
          <w:tcPr>
            <w:tcW w:w="887" w:type="dxa"/>
            <w:tcBorders>
              <w:top w:val="nil"/>
              <w:left w:val="nil"/>
              <w:bottom w:val="single" w:color="auto" w:sz="8" w:space="0"/>
              <w:right w:val="single" w:color="auto" w:sz="8" w:space="0"/>
            </w:tcBorders>
            <w:shd w:val="clear" w:color="auto" w:fill="auto"/>
            <w:vAlign w:val="center"/>
          </w:tcPr>
          <w:p w14:paraId="09E5A911">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台</w:t>
            </w:r>
          </w:p>
        </w:tc>
        <w:tc>
          <w:tcPr>
            <w:tcW w:w="820" w:type="dxa"/>
            <w:tcBorders>
              <w:top w:val="nil"/>
              <w:left w:val="nil"/>
              <w:bottom w:val="single" w:color="auto" w:sz="8" w:space="0"/>
              <w:right w:val="single" w:color="auto" w:sz="4" w:space="0"/>
            </w:tcBorders>
            <w:shd w:val="clear" w:color="auto" w:fill="auto"/>
            <w:vAlign w:val="center"/>
          </w:tcPr>
          <w:p w14:paraId="1C38E42C">
            <w:pPr>
              <w:spacing w:line="400" w:lineRule="exact"/>
              <w:ind w:left="0" w:leftChars="0" w:firstLine="0" w:firstLineChars="0"/>
              <w:rPr>
                <w:rFonts w:hint="eastAsia" w:cs="仿宋"/>
                <w:b w:val="0"/>
                <w:bCs w:val="0"/>
                <w:highlight w:val="none"/>
                <w:u w:val="none"/>
                <w:lang w:val="en-US"/>
              </w:rPr>
            </w:pPr>
            <w:r>
              <w:rPr>
                <w:rFonts w:hint="eastAsia" w:cs="仿宋"/>
                <w:b w:val="0"/>
                <w:bCs w:val="0"/>
                <w:highlight w:val="none"/>
                <w:u w:val="none"/>
              </w:rPr>
              <w:t>49</w:t>
            </w:r>
          </w:p>
        </w:tc>
        <w:tc>
          <w:tcPr>
            <w:tcW w:w="1430" w:type="dxa"/>
            <w:tcBorders>
              <w:top w:val="nil"/>
              <w:left w:val="nil"/>
              <w:bottom w:val="single" w:color="auto" w:sz="8" w:space="0"/>
              <w:right w:val="single" w:color="auto" w:sz="4" w:space="0"/>
            </w:tcBorders>
            <w:shd w:val="clear" w:color="auto" w:fill="auto"/>
            <w:vAlign w:val="center"/>
          </w:tcPr>
          <w:p w14:paraId="551319CE">
            <w:pPr>
              <w:spacing w:line="400" w:lineRule="exact"/>
              <w:ind w:firstLine="560"/>
              <w:rPr>
                <w:rFonts w:hint="eastAsia" w:cs="仿宋"/>
                <w:b w:val="0"/>
                <w:bCs w:val="0"/>
                <w:highlight w:val="none"/>
                <w:u w:val="none"/>
                <w:lang w:val="en-US"/>
              </w:rPr>
            </w:pPr>
          </w:p>
        </w:tc>
        <w:tc>
          <w:tcPr>
            <w:tcW w:w="1430" w:type="dxa"/>
            <w:tcBorders>
              <w:top w:val="nil"/>
              <w:left w:val="single" w:color="auto" w:sz="4" w:space="0"/>
              <w:bottom w:val="single" w:color="auto" w:sz="8" w:space="0"/>
              <w:right w:val="single" w:color="auto" w:sz="4" w:space="0"/>
            </w:tcBorders>
            <w:shd w:val="clear" w:color="auto" w:fill="auto"/>
            <w:vAlign w:val="center"/>
          </w:tcPr>
          <w:p w14:paraId="183473E3">
            <w:pPr>
              <w:spacing w:line="400" w:lineRule="exact"/>
              <w:ind w:firstLine="560"/>
              <w:rPr>
                <w:rFonts w:hint="eastAsia" w:cs="仿宋"/>
                <w:b w:val="0"/>
                <w:bCs w:val="0"/>
                <w:highlight w:val="none"/>
                <w:u w:val="none"/>
                <w:lang w:val="en-US"/>
              </w:rPr>
            </w:pPr>
          </w:p>
        </w:tc>
        <w:tc>
          <w:tcPr>
            <w:tcW w:w="991" w:type="dxa"/>
            <w:tcBorders>
              <w:top w:val="nil"/>
              <w:left w:val="single" w:color="auto" w:sz="4" w:space="0"/>
              <w:bottom w:val="single" w:color="auto" w:sz="8" w:space="0"/>
              <w:right w:val="single" w:color="auto" w:sz="8" w:space="0"/>
            </w:tcBorders>
            <w:shd w:val="clear" w:color="auto" w:fill="auto"/>
            <w:vAlign w:val="center"/>
          </w:tcPr>
          <w:p w14:paraId="5FD5E47A">
            <w:pPr>
              <w:spacing w:line="400" w:lineRule="exact"/>
              <w:ind w:firstLine="560"/>
              <w:rPr>
                <w:rFonts w:hint="eastAsia" w:cs="仿宋"/>
                <w:b w:val="0"/>
                <w:bCs w:val="0"/>
                <w:highlight w:val="none"/>
                <w:u w:val="none"/>
                <w:lang w:val="en-US"/>
              </w:rPr>
            </w:pPr>
          </w:p>
        </w:tc>
      </w:tr>
    </w:tbl>
    <w:p w14:paraId="785DB2CC">
      <w:pPr>
        <w:pStyle w:val="20"/>
        <w:spacing w:line="400" w:lineRule="exact"/>
        <w:rPr>
          <w:rFonts w:hint="eastAsia" w:ascii="仿宋" w:hAnsi="仿宋" w:eastAsia="仿宋" w:cs="仿宋"/>
          <w:b/>
          <w:bCs/>
          <w:sz w:val="28"/>
          <w:szCs w:val="28"/>
          <w:highlight w:val="none"/>
          <w:lang w:eastAsia="zh-CN"/>
        </w:rPr>
      </w:pPr>
    </w:p>
    <w:p w14:paraId="68B0D448">
      <w:pPr>
        <w:spacing w:line="360" w:lineRule="exact"/>
        <w:ind w:firstLine="560" w:firstLineChars="200"/>
        <w:rPr>
          <w:rFonts w:hint="eastAsia" w:cs="仿宋"/>
          <w:b w:val="0"/>
          <w:bCs w:val="0"/>
          <w:highlight w:val="none"/>
          <w:u w:val="none"/>
          <w:lang w:eastAsia="zh-CN"/>
        </w:rPr>
      </w:pPr>
      <w:r>
        <w:rPr>
          <w:rFonts w:hint="eastAsia" w:cs="仿宋"/>
          <w:b w:val="0"/>
          <w:bCs w:val="0"/>
          <w:highlight w:val="none"/>
          <w:u w:val="none"/>
          <w:lang w:eastAsia="zh-CN"/>
        </w:rPr>
        <w:t>注：采购价款包括冰箱购置费、装卸费、运输费、快递费、包装费、上楼费、安装费、检验费、管理费、规费、税金和乙方提供的售后服务等所需的全部费用，乙方不再有额外的任何收费。</w:t>
      </w:r>
    </w:p>
    <w:p w14:paraId="70AD8D06">
      <w:pPr>
        <w:spacing w:line="260" w:lineRule="exact"/>
        <w:rPr>
          <w:rFonts w:hint="eastAsia" w:cs="仿宋"/>
          <w:b w:val="0"/>
          <w:bCs w:val="0"/>
          <w:highlight w:val="none"/>
          <w:u w:val="none"/>
          <w:lang w:eastAsia="zh-CN"/>
        </w:rPr>
      </w:pPr>
    </w:p>
    <w:p w14:paraId="60EB9DAD">
      <w:pPr>
        <w:spacing w:line="400" w:lineRule="exact"/>
        <w:ind w:left="0" w:leftChars="0" w:firstLine="560" w:firstLineChars="200"/>
        <w:rPr>
          <w:rFonts w:hint="eastAsia" w:cs="仿宋"/>
          <w:b w:val="0"/>
          <w:bCs w:val="0"/>
          <w:highlight w:val="none"/>
          <w:u w:val="none"/>
        </w:rPr>
      </w:pPr>
    </w:p>
    <w:p w14:paraId="38086D9A">
      <w:pPr>
        <w:spacing w:line="400" w:lineRule="exact"/>
        <w:ind w:left="0" w:leftChars="0" w:firstLine="560" w:firstLineChars="200"/>
        <w:rPr>
          <w:rFonts w:hint="eastAsia" w:cs="仿宋"/>
          <w:b w:val="0"/>
          <w:bCs w:val="0"/>
          <w:highlight w:val="none"/>
          <w:u w:val="none"/>
        </w:rPr>
      </w:pPr>
      <w:r>
        <w:rPr>
          <w:rFonts w:hint="eastAsia" w:cs="仿宋"/>
          <w:b w:val="0"/>
          <w:bCs w:val="0"/>
          <w:highlight w:val="none"/>
          <w:u w:val="none"/>
        </w:rPr>
        <w:t>法定代表人或代理人（签字或盖章）：</w:t>
      </w:r>
    </w:p>
    <w:p w14:paraId="36618DFA">
      <w:pPr>
        <w:spacing w:line="400" w:lineRule="exact"/>
        <w:ind w:firstLine="560"/>
        <w:rPr>
          <w:rFonts w:hint="eastAsia" w:cs="仿宋"/>
          <w:b w:val="0"/>
          <w:bCs w:val="0"/>
          <w:highlight w:val="none"/>
          <w:u w:val="none"/>
        </w:rPr>
      </w:pPr>
      <w:r>
        <w:rPr>
          <w:rFonts w:hint="eastAsia" w:cs="仿宋"/>
          <w:b w:val="0"/>
          <w:bCs w:val="0"/>
          <w:highlight w:val="none"/>
          <w:u w:val="none"/>
        </w:rPr>
        <w:t>单位名称：</w:t>
      </w:r>
    </w:p>
    <w:p w14:paraId="7969369A">
      <w:pPr>
        <w:spacing w:line="400" w:lineRule="exact"/>
        <w:ind w:firstLine="560"/>
        <w:rPr>
          <w:rFonts w:hint="eastAsia" w:cs="仿宋"/>
          <w:b w:val="0"/>
          <w:bCs w:val="0"/>
          <w:highlight w:val="none"/>
          <w:u w:val="none"/>
          <w:lang w:eastAsia="zh-CN"/>
        </w:rPr>
      </w:pPr>
      <w:r>
        <w:rPr>
          <w:rFonts w:hint="eastAsia" w:cs="仿宋"/>
          <w:b w:val="0"/>
          <w:bCs w:val="0"/>
          <w:highlight w:val="none"/>
          <w:u w:val="none"/>
        </w:rPr>
        <w:t>报价日期</w:t>
      </w:r>
      <w:r>
        <w:rPr>
          <w:rFonts w:hint="eastAsia" w:cs="仿宋"/>
          <w:b w:val="0"/>
          <w:bCs w:val="0"/>
          <w:highlight w:val="none"/>
          <w:u w:val="none"/>
          <w:lang w:eastAsia="zh-CN"/>
        </w:rPr>
        <w:t>：</w:t>
      </w:r>
    </w:p>
    <w:p w14:paraId="0645D757">
      <w:pPr>
        <w:spacing w:line="400" w:lineRule="exact"/>
        <w:ind w:firstLine="560"/>
        <w:rPr>
          <w:rFonts w:hint="eastAsia" w:cs="仿宋"/>
          <w:b w:val="0"/>
          <w:bCs w:val="0"/>
          <w:highlight w:val="none"/>
          <w:u w:val="none"/>
          <w:lang w:eastAsia="zh-CN"/>
        </w:rPr>
      </w:pPr>
    </w:p>
    <w:p w14:paraId="2A97F8C4">
      <w:pPr>
        <w:spacing w:line="400" w:lineRule="exact"/>
        <w:ind w:firstLine="560"/>
        <w:rPr>
          <w:rFonts w:hint="eastAsia" w:cs="仿宋"/>
          <w:b w:val="0"/>
          <w:bCs w:val="0"/>
          <w:highlight w:val="none"/>
          <w:u w:val="none"/>
          <w:lang w:eastAsia="zh-CN"/>
        </w:rPr>
      </w:pPr>
    </w:p>
    <w:p w14:paraId="2E9DA04A">
      <w:pPr>
        <w:spacing w:line="400" w:lineRule="exact"/>
        <w:ind w:firstLine="560"/>
        <w:rPr>
          <w:rFonts w:hint="eastAsia" w:cs="仿宋"/>
          <w:b w:val="0"/>
          <w:bCs w:val="0"/>
          <w:highlight w:val="none"/>
          <w:u w:val="none"/>
          <w:lang w:eastAsia="zh-CN"/>
        </w:rPr>
      </w:pPr>
    </w:p>
    <w:p w14:paraId="2098701B">
      <w:pPr>
        <w:pStyle w:val="20"/>
        <w:spacing w:line="400" w:lineRule="exact"/>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rPr>
        <w:t xml:space="preserve">附件2： </w:t>
      </w:r>
      <w:r>
        <w:rPr>
          <w:rFonts w:hint="eastAsia" w:ascii="仿宋" w:hAnsi="仿宋" w:eastAsia="仿宋" w:cs="仿宋"/>
          <w:b/>
          <w:bCs/>
          <w:sz w:val="28"/>
          <w:szCs w:val="28"/>
          <w:highlight w:val="none"/>
          <w:lang w:eastAsia="zh-CN"/>
        </w:rPr>
        <w:t>服务</w:t>
      </w:r>
      <w:r>
        <w:rPr>
          <w:rFonts w:hint="eastAsia" w:ascii="仿宋" w:hAnsi="仿宋" w:eastAsia="仿宋" w:cs="仿宋"/>
          <w:b/>
          <w:bCs/>
          <w:sz w:val="28"/>
          <w:szCs w:val="28"/>
          <w:highlight w:val="none"/>
        </w:rPr>
        <w:t>条款</w:t>
      </w:r>
      <w:r>
        <w:rPr>
          <w:rFonts w:hint="eastAsia" w:ascii="仿宋" w:hAnsi="仿宋" w:eastAsia="仿宋" w:cs="仿宋"/>
          <w:b/>
          <w:bCs/>
          <w:sz w:val="28"/>
          <w:szCs w:val="28"/>
          <w:highlight w:val="none"/>
          <w:lang w:val="zh-CN"/>
        </w:rPr>
        <w:t>偏离表格式</w:t>
      </w:r>
    </w:p>
    <w:p w14:paraId="131190B5">
      <w:pPr>
        <w:spacing w:line="400" w:lineRule="exact"/>
        <w:ind w:firstLine="4200" w:firstLineChars="1500"/>
        <w:rPr>
          <w:rFonts w:hint="eastAsia" w:cs="仿宋"/>
          <w:b w:val="0"/>
          <w:bCs w:val="0"/>
          <w:highlight w:val="none"/>
          <w:u w:val="none"/>
          <w:lang w:val="zh-CN"/>
        </w:rPr>
      </w:pPr>
      <w:r>
        <w:rPr>
          <w:rFonts w:hint="eastAsia" w:cs="仿宋"/>
          <w:b w:val="0"/>
          <w:bCs w:val="0"/>
          <w:highlight w:val="none"/>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highlight w:val="none"/>
                <w:u w:val="none"/>
                <w:lang w:val="zh-CN"/>
              </w:rPr>
            </w:pPr>
            <w:r>
              <w:rPr>
                <w:rFonts w:hint="eastAsia" w:cs="仿宋"/>
                <w:b w:val="0"/>
                <w:bCs w:val="0"/>
                <w:highlight w:val="none"/>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highlight w:val="none"/>
                <w:u w:val="none"/>
                <w:lang w:val="zh-CN"/>
              </w:rPr>
            </w:pPr>
            <w:r>
              <w:rPr>
                <w:rFonts w:hint="eastAsia" w:cs="仿宋"/>
                <w:b w:val="0"/>
                <w:bCs w:val="0"/>
                <w:kern w:val="0"/>
                <w:highlight w:val="none"/>
                <w:u w:val="none"/>
                <w:lang w:val="zh-CN"/>
              </w:rPr>
              <w:t>项目编号：</w:t>
            </w:r>
            <w:r>
              <w:rPr>
                <w:rFonts w:hint="eastAsia" w:cs="仿宋"/>
                <w:b w:val="0"/>
                <w:bCs w:val="0"/>
                <w:highlight w:val="none"/>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highlight w:val="none"/>
                <w:u w:val="none"/>
              </w:rPr>
            </w:pPr>
            <w:r>
              <w:rPr>
                <w:rFonts w:hint="eastAsia" w:cs="仿宋"/>
                <w:b w:val="0"/>
                <w:bCs w:val="0"/>
                <w:highlight w:val="none"/>
                <w:u w:val="none"/>
                <w:lang w:val="zh-CN"/>
              </w:rPr>
              <w:t>服务商响应</w:t>
            </w:r>
            <w:r>
              <w:rPr>
                <w:rFonts w:hint="eastAsia" w:cs="仿宋"/>
                <w:b w:val="0"/>
                <w:bCs w:val="0"/>
                <w:highlight w:val="none"/>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highlight w:val="none"/>
                <w:u w:val="none"/>
              </w:rPr>
            </w:pPr>
            <w:r>
              <w:rPr>
                <w:rFonts w:hint="eastAsia" w:cs="仿宋"/>
                <w:b w:val="0"/>
                <w:bCs w:val="0"/>
                <w:highlight w:val="none"/>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highlight w:val="none"/>
                <w:u w:val="none"/>
                <w:lang w:val="zh-CN"/>
              </w:rPr>
            </w:pPr>
            <w:r>
              <w:rPr>
                <w:rFonts w:hint="eastAsia" w:cs="仿宋"/>
                <w:b w:val="0"/>
                <w:bCs w:val="0"/>
                <w:highlight w:val="none"/>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highlight w:val="none"/>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highlight w:val="none"/>
                <w:u w:val="none"/>
              </w:rPr>
            </w:pPr>
            <w:r>
              <w:rPr>
                <w:rFonts w:hint="eastAsia" w:cs="仿宋"/>
                <w:b w:val="0"/>
                <w:bCs w:val="0"/>
                <w:highlight w:val="none"/>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highlight w:val="none"/>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highlight w:val="none"/>
                <w:u w:val="none"/>
              </w:rPr>
            </w:pPr>
            <w:r>
              <w:rPr>
                <w:rFonts w:hint="eastAsia" w:cs="仿宋"/>
                <w:b w:val="0"/>
                <w:bCs w:val="0"/>
                <w:highlight w:val="none"/>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highlight w:val="none"/>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highlight w:val="none"/>
                <w:u w:val="none"/>
              </w:rPr>
            </w:pPr>
            <w:r>
              <w:rPr>
                <w:rFonts w:hint="eastAsia" w:cs="仿宋"/>
                <w:b w:val="0"/>
                <w:bCs w:val="0"/>
                <w:highlight w:val="none"/>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highlight w:val="none"/>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highlight w:val="none"/>
                <w:u w:val="none"/>
              </w:rPr>
            </w:pPr>
            <w:r>
              <w:rPr>
                <w:rFonts w:hint="eastAsia" w:cs="仿宋"/>
                <w:b w:val="0"/>
                <w:bCs w:val="0"/>
                <w:highlight w:val="none"/>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highlight w:val="none"/>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highlight w:val="none"/>
                <w:u w:val="none"/>
              </w:rPr>
            </w:pPr>
            <w:r>
              <w:rPr>
                <w:rFonts w:hint="eastAsia" w:cs="仿宋"/>
                <w:b w:val="0"/>
                <w:bCs w:val="0"/>
                <w:highlight w:val="none"/>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highlight w:val="none"/>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highlight w:val="none"/>
                <w:u w:val="none"/>
              </w:rPr>
            </w:pPr>
            <w:r>
              <w:rPr>
                <w:rFonts w:hint="eastAsia" w:cs="仿宋"/>
                <w:b w:val="0"/>
                <w:bCs w:val="0"/>
                <w:highlight w:val="none"/>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highlight w:val="none"/>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highlight w:val="none"/>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highlight w:val="none"/>
                <w:u w:val="none"/>
                <w:lang w:val="zh-CN"/>
              </w:rPr>
            </w:pPr>
          </w:p>
        </w:tc>
      </w:tr>
    </w:tbl>
    <w:p w14:paraId="153FA5FA">
      <w:pPr>
        <w:spacing w:line="400" w:lineRule="exact"/>
        <w:ind w:firstLine="560"/>
        <w:rPr>
          <w:rFonts w:hint="eastAsia" w:cs="仿宋"/>
          <w:b w:val="0"/>
          <w:bCs w:val="0"/>
          <w:highlight w:val="none"/>
          <w:u w:val="none"/>
          <w:lang w:val="zh-CN"/>
        </w:rPr>
      </w:pPr>
      <w:r>
        <w:rPr>
          <w:rFonts w:hint="eastAsia" w:cs="仿宋"/>
          <w:b w:val="0"/>
          <w:bCs w:val="0"/>
          <w:highlight w:val="none"/>
          <w:u w:val="none"/>
          <w:lang w:val="zh-CN"/>
        </w:rPr>
        <w:t xml:space="preserve">服务商名称（盖章）： </w:t>
      </w:r>
    </w:p>
    <w:p w14:paraId="45CF165A">
      <w:pPr>
        <w:spacing w:line="400" w:lineRule="exact"/>
        <w:ind w:firstLine="560"/>
        <w:rPr>
          <w:rFonts w:hint="eastAsia" w:cs="仿宋"/>
          <w:b w:val="0"/>
          <w:bCs w:val="0"/>
          <w:color w:val="91ACE0" w:themeColor="accent1" w:themeTint="99"/>
          <w:highlight w:val="none"/>
          <w:u w:val="none"/>
          <w:lang w:val="zh-CN"/>
          <w14:textFill>
            <w14:solidFill>
              <w14:schemeClr w14:val="accent1">
                <w14:lumMod w14:val="60000"/>
                <w14:lumOff w14:val="40000"/>
              </w14:schemeClr>
            </w14:solidFill>
          </w14:textFill>
        </w:rPr>
      </w:pPr>
      <w:r>
        <w:rPr>
          <w:rFonts w:hint="eastAsia" w:cs="仿宋"/>
          <w:b w:val="0"/>
          <w:bCs w:val="0"/>
          <w:highlight w:val="none"/>
          <w:u w:val="none"/>
          <w:lang w:val="zh-CN"/>
        </w:rPr>
        <w:t>说明：如果行数不够，请自行增加。请服务商对招标文件内的技术条款进行逐条响应</w:t>
      </w:r>
      <w:r>
        <w:rPr>
          <w:rFonts w:hint="eastAsia" w:cs="仿宋"/>
          <w:b w:val="0"/>
          <w:bCs w:val="0"/>
          <w:highlight w:val="none"/>
          <w:u w:val="none"/>
        </w:rPr>
        <w:t>/正偏离/负偏离，不得缺页漏项</w:t>
      </w:r>
      <w:r>
        <w:rPr>
          <w:rFonts w:hint="eastAsia" w:cs="仿宋"/>
          <w:b w:val="0"/>
          <w:bCs w:val="0"/>
          <w:highlight w:val="none"/>
          <w:u w:val="none"/>
          <w:lang w:val="zh-CN"/>
        </w:rPr>
        <w:t>。</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拟签订合同文本（供参考）</w:t>
      </w:r>
    </w:p>
    <w:p w14:paraId="7972AEE8">
      <w:pPr>
        <w:spacing w:line="300" w:lineRule="exact"/>
        <w:ind w:firstLine="360" w:firstLineChars="20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本</w:t>
      </w:r>
      <w:r>
        <w:rPr>
          <w:rFonts w:hint="eastAsia" w:ascii="宋体" w:hAnsi="宋体" w:cs="宋体"/>
          <w:b w:val="0"/>
          <w:bCs w:val="0"/>
          <w:color w:val="000000"/>
          <w:sz w:val="18"/>
          <w:szCs w:val="18"/>
          <w:u w:val="none" w:color="auto"/>
          <w:lang w:val="zh-TW" w:eastAsia="zh-CN"/>
        </w:rPr>
        <w:t>合同</w:t>
      </w:r>
      <w:r>
        <w:rPr>
          <w:rFonts w:hint="eastAsia" w:ascii="宋体" w:hAnsi="宋体" w:cs="宋体"/>
          <w:b w:val="0"/>
          <w:bCs w:val="0"/>
          <w:color w:val="000000"/>
          <w:sz w:val="18"/>
          <w:szCs w:val="18"/>
          <w:u w:val="none" w:color="auto"/>
          <w:lang w:val="zh-TW"/>
        </w:rPr>
        <w:t>由甲、乙双方在自愿、平等、公平及诚实信用原则的基础上，根据《中华人民共和国民法典》等相关法律、法规的规定，</w:t>
      </w:r>
      <w:r>
        <w:rPr>
          <w:rFonts w:hint="eastAsia" w:ascii="宋体" w:hAnsi="宋体" w:cs="宋体"/>
          <w:b w:val="0"/>
          <w:bCs w:val="0"/>
          <w:color w:val="000000"/>
          <w:sz w:val="18"/>
          <w:szCs w:val="18"/>
          <w:u w:val="none" w:color="auto"/>
          <w:lang w:val="zh-TW" w:eastAsia="zh-CN"/>
        </w:rPr>
        <w:t>根据院内招标编号为</w:t>
      </w:r>
      <w:r>
        <w:rPr>
          <w:rFonts w:hint="eastAsia" w:ascii="宋体" w:hAnsi="宋体" w:cs="宋体"/>
          <w:b/>
          <w:bCs/>
          <w:color w:val="000000"/>
          <w:sz w:val="18"/>
          <w:szCs w:val="18"/>
          <w:u w:val="single" w:color="auto"/>
          <w:lang w:val="en-US" w:eastAsia="zh-CN"/>
        </w:rPr>
        <w:t xml:space="preserve">            </w:t>
      </w:r>
      <w:r>
        <w:rPr>
          <w:rFonts w:hint="eastAsia" w:ascii="宋体" w:hAnsi="宋体" w:cs="宋体"/>
          <w:b w:val="0"/>
          <w:bCs w:val="0"/>
          <w:color w:val="000000"/>
          <w:sz w:val="18"/>
          <w:szCs w:val="18"/>
          <w:u w:val="none" w:color="auto"/>
          <w:lang w:val="en-US" w:eastAsia="zh-CN"/>
        </w:rPr>
        <w:t>的询价结果</w:t>
      </w:r>
      <w:r>
        <w:rPr>
          <w:rFonts w:hint="eastAsia" w:ascii="宋体" w:hAnsi="宋体" w:cs="宋体"/>
          <w:b w:val="0"/>
          <w:bCs w:val="0"/>
          <w:color w:val="000000"/>
          <w:sz w:val="18"/>
          <w:szCs w:val="18"/>
          <w:u w:val="none" w:color="auto"/>
          <w:lang w:val="zh-TW"/>
        </w:rPr>
        <w:t>，签订以下业务合作</w:t>
      </w:r>
      <w:r>
        <w:rPr>
          <w:rFonts w:hint="eastAsia" w:ascii="宋体" w:hAnsi="宋体" w:cs="宋体"/>
          <w:b w:val="0"/>
          <w:bCs w:val="0"/>
          <w:color w:val="000000"/>
          <w:sz w:val="18"/>
          <w:szCs w:val="18"/>
          <w:u w:val="none" w:color="auto"/>
          <w:lang w:val="zh-TW" w:eastAsia="zh-CN"/>
        </w:rPr>
        <w:t>合同</w:t>
      </w:r>
      <w:r>
        <w:rPr>
          <w:rFonts w:hint="eastAsia" w:ascii="宋体" w:hAnsi="宋体" w:cs="宋体"/>
          <w:b w:val="0"/>
          <w:bCs w:val="0"/>
          <w:color w:val="000000"/>
          <w:sz w:val="18"/>
          <w:szCs w:val="18"/>
          <w:u w:val="none" w:color="auto"/>
          <w:lang w:val="zh-TW"/>
        </w:rPr>
        <w:t>，以资共同遵守。</w:t>
      </w:r>
    </w:p>
    <w:p w14:paraId="1DC886CF">
      <w:pPr>
        <w:spacing w:after="0" w:line="240" w:lineRule="auto"/>
        <w:ind w:left="0" w:leftChars="0" w:firstLine="0" w:firstLineChars="0"/>
        <w:jc w:val="both"/>
        <w:rPr>
          <w:rFonts w:hint="default" w:ascii="宋体" w:hAnsi="宋体" w:eastAsia="宋体" w:cs="宋体"/>
          <w:b/>
          <w:bCs/>
          <w:color w:val="000000"/>
          <w:sz w:val="18"/>
          <w:szCs w:val="18"/>
          <w:u w:val="none" w:color="auto"/>
          <w:lang w:val="en-US" w:eastAsia="zh-CN"/>
        </w:rPr>
      </w:pPr>
      <w:r>
        <w:rPr>
          <w:rFonts w:hint="eastAsia" w:ascii="宋体" w:hAnsi="宋体" w:eastAsia="宋体" w:cs="宋体"/>
          <w:b/>
          <w:bCs/>
          <w:color w:val="000000"/>
          <w:sz w:val="18"/>
          <w:szCs w:val="18"/>
          <w:u w:val="none" w:color="auto"/>
          <w:lang w:val="zh-TW" w:eastAsia="zh-CN"/>
        </w:rPr>
        <w:t>一、</w:t>
      </w:r>
      <w:r>
        <w:rPr>
          <w:rFonts w:hint="eastAsia" w:ascii="宋体" w:hAnsi="宋体" w:eastAsia="宋体" w:cs="宋体"/>
          <w:b/>
          <w:bCs/>
          <w:color w:val="000000"/>
          <w:sz w:val="18"/>
          <w:szCs w:val="18"/>
          <w:u w:val="none" w:color="auto"/>
          <w:lang w:val="en-US" w:eastAsia="zh-CN"/>
        </w:rPr>
        <w:t>采购内容</w:t>
      </w:r>
    </w:p>
    <w:tbl>
      <w:tblPr>
        <w:tblStyle w:val="16"/>
        <w:tblW w:w="9434" w:type="dxa"/>
        <w:jc w:val="center"/>
        <w:tblLayout w:type="fixed"/>
        <w:tblCellMar>
          <w:top w:w="0" w:type="dxa"/>
          <w:left w:w="108" w:type="dxa"/>
          <w:bottom w:w="0" w:type="dxa"/>
          <w:right w:w="108" w:type="dxa"/>
        </w:tblCellMar>
      </w:tblPr>
      <w:tblGrid>
        <w:gridCol w:w="1315"/>
        <w:gridCol w:w="1696"/>
        <w:gridCol w:w="1451"/>
        <w:gridCol w:w="956"/>
        <w:gridCol w:w="660"/>
        <w:gridCol w:w="1370"/>
        <w:gridCol w:w="1030"/>
        <w:gridCol w:w="956"/>
      </w:tblGrid>
      <w:tr w14:paraId="70BDC315">
        <w:tblPrEx>
          <w:tblCellMar>
            <w:top w:w="0" w:type="dxa"/>
            <w:left w:w="108" w:type="dxa"/>
            <w:bottom w:w="0" w:type="dxa"/>
            <w:right w:w="108" w:type="dxa"/>
          </w:tblCellMar>
        </w:tblPrEx>
        <w:trPr>
          <w:trHeight w:val="527" w:hRule="atLeast"/>
          <w:jc w:val="center"/>
        </w:trPr>
        <w:tc>
          <w:tcPr>
            <w:tcW w:w="1315"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4FCC043C">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项目名称</w:t>
            </w:r>
          </w:p>
        </w:tc>
        <w:tc>
          <w:tcPr>
            <w:tcW w:w="1696"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F3CC22A">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规格</w:t>
            </w:r>
          </w:p>
        </w:tc>
        <w:tc>
          <w:tcPr>
            <w:tcW w:w="1451"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209D3C75">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品牌型号</w:t>
            </w:r>
          </w:p>
        </w:tc>
        <w:tc>
          <w:tcPr>
            <w:tcW w:w="956"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6A6E7B9F">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单位</w:t>
            </w:r>
          </w:p>
        </w:tc>
        <w:tc>
          <w:tcPr>
            <w:tcW w:w="66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26F68DD3">
            <w:pPr>
              <w:spacing w:after="0" w:line="240" w:lineRule="auto"/>
              <w:ind w:left="0" w:leftChars="0" w:firstLine="0" w:firstLineChars="0"/>
              <w:jc w:val="both"/>
              <w:rPr>
                <w:rFonts w:ascii="黑体" w:hAnsi="黑体" w:eastAsia="黑体" w:cs="宋体"/>
                <w:b w:val="0"/>
                <w:bCs w:val="0"/>
                <w:color w:val="000000"/>
                <w:sz w:val="18"/>
                <w:szCs w:val="18"/>
                <w:u w:val="none"/>
                <w:lang w:val="en-US"/>
              </w:rPr>
            </w:pPr>
            <w:r>
              <w:rPr>
                <w:rFonts w:ascii="黑体" w:hAnsi="黑体" w:eastAsia="黑体" w:cs="宋体"/>
                <w:b w:val="0"/>
                <w:bCs w:val="0"/>
                <w:color w:val="000000"/>
                <w:sz w:val="18"/>
                <w:szCs w:val="18"/>
                <w:u w:val="none"/>
                <w:lang w:val="en-US"/>
              </w:rPr>
              <w:t>数量</w:t>
            </w:r>
          </w:p>
        </w:tc>
        <w:tc>
          <w:tcPr>
            <w:tcW w:w="1370" w:type="dxa"/>
            <w:tcBorders>
              <w:top w:val="single" w:color="auto" w:sz="4" w:space="0"/>
              <w:left w:val="nil"/>
              <w:bottom w:val="single" w:color="auto" w:sz="8" w:space="0"/>
              <w:right w:val="single" w:color="auto" w:sz="4" w:space="0"/>
            </w:tcBorders>
            <w:shd w:val="clear" w:color="auto" w:fill="C7E4B3" w:themeFill="accent4" w:themeFillTint="66"/>
            <w:vAlign w:val="center"/>
          </w:tcPr>
          <w:p w14:paraId="5EBBB736">
            <w:pPr>
              <w:spacing w:after="0" w:line="240" w:lineRule="auto"/>
              <w:jc w:val="center"/>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rPr>
              <w:t>单价（元）</w:t>
            </w:r>
          </w:p>
        </w:tc>
        <w:tc>
          <w:tcPr>
            <w:tcW w:w="1030" w:type="dxa"/>
            <w:tcBorders>
              <w:top w:val="single" w:color="auto" w:sz="8" w:space="0"/>
              <w:left w:val="single" w:color="auto" w:sz="4" w:space="0"/>
              <w:bottom w:val="single" w:color="auto" w:sz="8" w:space="0"/>
              <w:right w:val="single" w:color="auto" w:sz="4" w:space="0"/>
            </w:tcBorders>
            <w:shd w:val="clear" w:color="auto" w:fill="C7E4B3" w:themeFill="accent4" w:themeFillTint="66"/>
            <w:vAlign w:val="center"/>
          </w:tcPr>
          <w:p w14:paraId="3D16BC7C">
            <w:pPr>
              <w:spacing w:after="0" w:line="240" w:lineRule="auto"/>
              <w:ind w:left="0" w:leftChars="0" w:firstLine="0" w:firstLineChars="0"/>
              <w:jc w:val="both"/>
              <w:rPr>
                <w:rFonts w:ascii="黑体" w:hAnsi="黑体" w:eastAsia="黑体" w:cs="宋体"/>
                <w:b w:val="0"/>
                <w:bCs w:val="0"/>
                <w:color w:val="000000"/>
                <w:sz w:val="18"/>
                <w:szCs w:val="18"/>
                <w:u w:val="none"/>
                <w:lang w:val="en-US"/>
              </w:rPr>
            </w:pPr>
            <w:r>
              <w:rPr>
                <w:rFonts w:hint="eastAsia" w:ascii="黑体" w:hAnsi="黑体" w:eastAsia="黑体" w:cs="宋体"/>
                <w:b w:val="0"/>
                <w:bCs w:val="0"/>
                <w:color w:val="000000"/>
                <w:sz w:val="18"/>
                <w:szCs w:val="18"/>
                <w:u w:val="none"/>
                <w:lang w:val="en-US"/>
              </w:rPr>
              <w:t>总价（元）</w:t>
            </w:r>
          </w:p>
        </w:tc>
        <w:tc>
          <w:tcPr>
            <w:tcW w:w="956" w:type="dxa"/>
            <w:tcBorders>
              <w:top w:val="single" w:color="auto" w:sz="8" w:space="0"/>
              <w:left w:val="single" w:color="auto" w:sz="4" w:space="0"/>
              <w:bottom w:val="single" w:color="auto" w:sz="8" w:space="0"/>
              <w:right w:val="single" w:color="auto" w:sz="8" w:space="0"/>
            </w:tcBorders>
            <w:shd w:val="clear" w:color="auto" w:fill="C7E4B3" w:themeFill="accent4" w:themeFillTint="66"/>
            <w:vAlign w:val="center"/>
          </w:tcPr>
          <w:p w14:paraId="20B2BCA6">
            <w:pPr>
              <w:spacing w:after="0" w:line="240" w:lineRule="auto"/>
              <w:ind w:left="0" w:leftChars="0" w:firstLine="180" w:firstLineChars="100"/>
              <w:jc w:val="both"/>
              <w:rPr>
                <w:rFonts w:ascii="黑体" w:hAnsi="黑体" w:eastAsia="黑体" w:cs="宋体"/>
                <w:b w:val="0"/>
                <w:bCs w:val="0"/>
                <w:color w:val="000000"/>
                <w:sz w:val="18"/>
                <w:szCs w:val="18"/>
                <w:u w:val="none"/>
                <w:lang w:val="en-US"/>
              </w:rPr>
            </w:pPr>
            <w:r>
              <w:rPr>
                <w:rFonts w:ascii="黑体" w:hAnsi="黑体" w:eastAsia="黑体" w:cs="宋体"/>
                <w:b w:val="0"/>
                <w:bCs w:val="0"/>
                <w:color w:val="000000"/>
                <w:sz w:val="18"/>
                <w:szCs w:val="18"/>
                <w:u w:val="none"/>
                <w:lang w:val="en-US"/>
              </w:rPr>
              <w:t>备注</w:t>
            </w:r>
          </w:p>
        </w:tc>
      </w:tr>
      <w:tr w14:paraId="40ADABD6">
        <w:tblPrEx>
          <w:tblCellMar>
            <w:top w:w="0" w:type="dxa"/>
            <w:left w:w="108" w:type="dxa"/>
            <w:bottom w:w="0" w:type="dxa"/>
            <w:right w:w="108" w:type="dxa"/>
          </w:tblCellMar>
        </w:tblPrEx>
        <w:trPr>
          <w:trHeight w:val="124" w:hRule="atLeast"/>
          <w:jc w:val="center"/>
        </w:trPr>
        <w:tc>
          <w:tcPr>
            <w:tcW w:w="1315" w:type="dxa"/>
            <w:tcBorders>
              <w:top w:val="nil"/>
              <w:left w:val="single" w:color="auto" w:sz="8" w:space="0"/>
              <w:bottom w:val="single" w:color="auto" w:sz="8" w:space="0"/>
              <w:right w:val="single" w:color="auto" w:sz="8" w:space="0"/>
            </w:tcBorders>
            <w:shd w:val="clear" w:color="auto" w:fill="auto"/>
            <w:vAlign w:val="center"/>
          </w:tcPr>
          <w:p w14:paraId="43B1F194">
            <w:pPr>
              <w:spacing w:after="0" w:line="240" w:lineRule="auto"/>
              <w:ind w:left="0" w:leftChars="0" w:firstLine="0" w:firstLineChars="0"/>
              <w:jc w:val="both"/>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单开两门冰箱</w:t>
            </w:r>
          </w:p>
        </w:tc>
        <w:tc>
          <w:tcPr>
            <w:tcW w:w="1696" w:type="dxa"/>
            <w:tcBorders>
              <w:top w:val="nil"/>
              <w:left w:val="nil"/>
              <w:bottom w:val="single" w:color="auto" w:sz="8" w:space="0"/>
              <w:right w:val="single" w:color="auto" w:sz="8" w:space="0"/>
            </w:tcBorders>
            <w:shd w:val="clear" w:color="auto" w:fill="auto"/>
            <w:vAlign w:val="center"/>
          </w:tcPr>
          <w:p w14:paraId="49340ACF">
            <w:pPr>
              <w:spacing w:after="0" w:line="240" w:lineRule="auto"/>
              <w:jc w:val="center"/>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58L-60</w:t>
            </w:r>
            <w:r>
              <w:rPr>
                <w:rFonts w:ascii="宋体" w:hAnsi="宋体" w:eastAsia="宋体" w:cs="宋体"/>
                <w:b w:val="0"/>
                <w:bCs w:val="0"/>
                <w:color w:val="000000"/>
                <w:sz w:val="18"/>
                <w:szCs w:val="18"/>
                <w:u w:val="none"/>
              </w:rPr>
              <w:t>L</w:t>
            </w:r>
          </w:p>
        </w:tc>
        <w:tc>
          <w:tcPr>
            <w:tcW w:w="1451" w:type="dxa"/>
            <w:tcBorders>
              <w:top w:val="nil"/>
              <w:left w:val="nil"/>
              <w:bottom w:val="single" w:color="auto" w:sz="8" w:space="0"/>
              <w:right w:val="single" w:color="auto" w:sz="8" w:space="0"/>
            </w:tcBorders>
            <w:shd w:val="clear" w:color="auto" w:fill="auto"/>
            <w:vAlign w:val="center"/>
          </w:tcPr>
          <w:p w14:paraId="1BC28B74">
            <w:pPr>
              <w:spacing w:after="0" w:line="240" w:lineRule="auto"/>
              <w:jc w:val="both"/>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　</w:t>
            </w:r>
          </w:p>
        </w:tc>
        <w:tc>
          <w:tcPr>
            <w:tcW w:w="956" w:type="dxa"/>
            <w:tcBorders>
              <w:top w:val="nil"/>
              <w:left w:val="nil"/>
              <w:bottom w:val="single" w:color="auto" w:sz="8" w:space="0"/>
              <w:right w:val="single" w:color="auto" w:sz="8" w:space="0"/>
            </w:tcBorders>
            <w:shd w:val="clear" w:color="auto" w:fill="auto"/>
            <w:vAlign w:val="center"/>
          </w:tcPr>
          <w:p w14:paraId="449FB239">
            <w:pPr>
              <w:spacing w:after="0" w:line="240" w:lineRule="auto"/>
              <w:jc w:val="center"/>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台</w:t>
            </w:r>
          </w:p>
        </w:tc>
        <w:tc>
          <w:tcPr>
            <w:tcW w:w="660" w:type="dxa"/>
            <w:tcBorders>
              <w:top w:val="nil"/>
              <w:left w:val="nil"/>
              <w:bottom w:val="single" w:color="auto" w:sz="8" w:space="0"/>
              <w:right w:val="single" w:color="auto" w:sz="4" w:space="0"/>
            </w:tcBorders>
            <w:shd w:val="clear" w:color="auto" w:fill="auto"/>
            <w:vAlign w:val="center"/>
          </w:tcPr>
          <w:p w14:paraId="1F95A6E5">
            <w:pPr>
              <w:spacing w:after="0" w:line="240" w:lineRule="auto"/>
              <w:ind w:left="0" w:leftChars="0" w:firstLine="180" w:firstLineChars="100"/>
              <w:jc w:val="both"/>
              <w:rPr>
                <w:rFonts w:ascii="宋体" w:hAnsi="宋体" w:eastAsia="宋体" w:cs="宋体"/>
                <w:b w:val="0"/>
                <w:bCs w:val="0"/>
                <w:color w:val="000000"/>
                <w:sz w:val="18"/>
                <w:szCs w:val="18"/>
                <w:u w:val="none"/>
                <w:lang w:val="en-US"/>
              </w:rPr>
            </w:pPr>
            <w:r>
              <w:rPr>
                <w:rFonts w:hint="eastAsia" w:ascii="宋体" w:hAnsi="宋体" w:eastAsia="宋体" w:cs="宋体"/>
                <w:b w:val="0"/>
                <w:bCs w:val="0"/>
                <w:color w:val="000000"/>
                <w:sz w:val="18"/>
                <w:szCs w:val="18"/>
                <w:u w:val="none"/>
              </w:rPr>
              <w:t>49</w:t>
            </w:r>
          </w:p>
        </w:tc>
        <w:tc>
          <w:tcPr>
            <w:tcW w:w="1370" w:type="dxa"/>
            <w:tcBorders>
              <w:top w:val="nil"/>
              <w:left w:val="nil"/>
              <w:bottom w:val="single" w:color="auto" w:sz="8" w:space="0"/>
              <w:right w:val="single" w:color="auto" w:sz="4" w:space="0"/>
            </w:tcBorders>
            <w:shd w:val="clear" w:color="auto" w:fill="auto"/>
            <w:vAlign w:val="center"/>
          </w:tcPr>
          <w:p w14:paraId="78AA34FB">
            <w:pPr>
              <w:spacing w:after="0" w:line="240" w:lineRule="auto"/>
              <w:jc w:val="both"/>
              <w:rPr>
                <w:rFonts w:ascii="宋体" w:hAnsi="宋体" w:eastAsia="宋体" w:cs="宋体"/>
                <w:b w:val="0"/>
                <w:bCs w:val="0"/>
                <w:color w:val="000000"/>
                <w:sz w:val="18"/>
                <w:szCs w:val="18"/>
                <w:u w:val="none"/>
                <w:lang w:val="en-US"/>
              </w:rPr>
            </w:pPr>
          </w:p>
        </w:tc>
        <w:tc>
          <w:tcPr>
            <w:tcW w:w="1030" w:type="dxa"/>
            <w:tcBorders>
              <w:top w:val="nil"/>
              <w:left w:val="single" w:color="auto" w:sz="4" w:space="0"/>
              <w:bottom w:val="single" w:color="auto" w:sz="8" w:space="0"/>
              <w:right w:val="single" w:color="auto" w:sz="4" w:space="0"/>
            </w:tcBorders>
            <w:shd w:val="clear" w:color="auto" w:fill="auto"/>
            <w:vAlign w:val="center"/>
          </w:tcPr>
          <w:p w14:paraId="5C0ABFA5">
            <w:pPr>
              <w:spacing w:after="0" w:line="240" w:lineRule="auto"/>
              <w:jc w:val="both"/>
              <w:rPr>
                <w:rFonts w:ascii="宋体" w:hAnsi="宋体" w:eastAsia="宋体" w:cs="宋体"/>
                <w:b w:val="0"/>
                <w:bCs w:val="0"/>
                <w:color w:val="000000"/>
                <w:sz w:val="18"/>
                <w:szCs w:val="18"/>
                <w:u w:val="none"/>
                <w:lang w:val="en-US"/>
              </w:rPr>
            </w:pPr>
          </w:p>
        </w:tc>
        <w:tc>
          <w:tcPr>
            <w:tcW w:w="956" w:type="dxa"/>
            <w:tcBorders>
              <w:top w:val="nil"/>
              <w:left w:val="single" w:color="auto" w:sz="4" w:space="0"/>
              <w:bottom w:val="single" w:color="auto" w:sz="8" w:space="0"/>
              <w:right w:val="single" w:color="auto" w:sz="8" w:space="0"/>
            </w:tcBorders>
            <w:shd w:val="clear" w:color="auto" w:fill="auto"/>
            <w:vAlign w:val="center"/>
          </w:tcPr>
          <w:p w14:paraId="6083F842">
            <w:pPr>
              <w:spacing w:after="0" w:line="240" w:lineRule="auto"/>
              <w:jc w:val="both"/>
              <w:rPr>
                <w:rFonts w:ascii="宋体" w:hAnsi="宋体" w:eastAsia="宋体" w:cs="宋体"/>
                <w:b w:val="0"/>
                <w:bCs w:val="0"/>
                <w:color w:val="000000"/>
                <w:sz w:val="18"/>
                <w:szCs w:val="18"/>
                <w:u w:val="none"/>
                <w:lang w:val="en-US"/>
              </w:rPr>
            </w:pPr>
          </w:p>
        </w:tc>
      </w:tr>
    </w:tbl>
    <w:p w14:paraId="1E347CC9">
      <w:pPr>
        <w:spacing w:after="0" w:line="240" w:lineRule="auto"/>
        <w:ind w:left="0" w:leftChars="0" w:firstLine="0" w:firstLineChars="0"/>
        <w:jc w:val="both"/>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二、</w:t>
      </w:r>
      <w:r>
        <w:rPr>
          <w:rFonts w:hint="eastAsia" w:ascii="宋体" w:hAnsi="宋体" w:eastAsia="宋体" w:cs="宋体"/>
          <w:b/>
          <w:bCs/>
          <w:color w:val="000000"/>
          <w:sz w:val="18"/>
          <w:szCs w:val="18"/>
          <w:u w:val="none" w:color="auto"/>
          <w:lang w:val="zh-TW" w:eastAsia="zh-CN"/>
        </w:rPr>
        <w:t>采购价款及付款方式</w:t>
      </w:r>
    </w:p>
    <w:p w14:paraId="5855E5C8">
      <w:pPr>
        <w:spacing w:after="0" w:line="240" w:lineRule="auto"/>
        <w:ind w:left="0" w:leftChars="0" w:firstLine="0" w:firstLineChars="0"/>
        <w:jc w:val="both"/>
        <w:rPr>
          <w:rFonts w:hint="eastAsia" w:ascii="宋体" w:hAnsi="宋体" w:eastAsia="宋体" w:cs="宋体"/>
          <w:b w:val="0"/>
          <w:bCs w:val="0"/>
          <w:color w:val="000000"/>
          <w:sz w:val="18"/>
          <w:szCs w:val="18"/>
          <w:u w:val="none"/>
          <w:lang w:val="zh-TW"/>
        </w:rPr>
      </w:pPr>
      <w:r>
        <w:rPr>
          <w:rFonts w:hint="eastAsia" w:ascii="宋体" w:hAnsi="宋体" w:eastAsia="宋体" w:cs="宋体"/>
          <w:b w:val="0"/>
          <w:bCs w:val="0"/>
          <w:color w:val="000000"/>
          <w:sz w:val="18"/>
          <w:szCs w:val="18"/>
          <w:u w:val="none"/>
          <w:lang w:val="zh-TW"/>
        </w:rPr>
        <w:t>1、</w:t>
      </w:r>
      <w:r>
        <w:rPr>
          <w:rFonts w:hint="eastAsia" w:ascii="宋体" w:hAnsi="宋体" w:eastAsia="宋体" w:cs="宋体"/>
          <w:b w:val="0"/>
          <w:bCs w:val="0"/>
          <w:color w:val="000000"/>
          <w:sz w:val="18"/>
          <w:szCs w:val="18"/>
          <w:u w:val="none"/>
          <w:lang w:val="en-US" w:eastAsia="zh-CN"/>
        </w:rPr>
        <w:t>本合同项总价款为      元（大写：人民币      元），</w:t>
      </w:r>
      <w:r>
        <w:rPr>
          <w:rFonts w:hint="eastAsia" w:ascii="宋体" w:hAnsi="宋体" w:eastAsia="宋体" w:cs="宋体"/>
          <w:b w:val="0"/>
          <w:bCs w:val="0"/>
          <w:color w:val="000000"/>
          <w:sz w:val="18"/>
          <w:szCs w:val="18"/>
          <w:u w:val="none"/>
          <w:lang w:val="zh-TW"/>
        </w:rPr>
        <w:t>采购价款包括冰箱购置费、装卸费、运输费、快递费、包装费、上楼费、安装费、检验费、管理费、规费、税金和乙方提供的售后服务等所需的全部费用，乙方不再有额外的任何收费。</w:t>
      </w:r>
    </w:p>
    <w:p w14:paraId="01C3E5B7">
      <w:pPr>
        <w:spacing w:after="0" w:line="240" w:lineRule="auto"/>
        <w:ind w:left="0" w:leftChars="0" w:firstLine="0" w:firstLineChars="0"/>
        <w:jc w:val="both"/>
        <w:rPr>
          <w:rFonts w:hint="eastAsia" w:ascii="宋体" w:hAnsi="宋体" w:eastAsia="宋体" w:cs="宋体"/>
          <w:b/>
          <w:bCs/>
          <w:color w:val="000000"/>
          <w:sz w:val="18"/>
          <w:szCs w:val="18"/>
          <w:highlight w:val="none"/>
          <w:u w:val="single"/>
          <w:lang w:val="zh-TW"/>
        </w:rPr>
      </w:pPr>
      <w:r>
        <w:rPr>
          <w:rFonts w:hint="eastAsia" w:ascii="宋体" w:hAnsi="宋体" w:eastAsia="宋体" w:cs="宋体"/>
          <w:b w:val="0"/>
          <w:bCs w:val="0"/>
          <w:color w:val="000000"/>
          <w:sz w:val="18"/>
          <w:szCs w:val="18"/>
          <w:u w:val="none"/>
          <w:lang w:val="zh-TW"/>
        </w:rPr>
        <w:t>2、付款方式：</w:t>
      </w:r>
      <w:r>
        <w:rPr>
          <w:rFonts w:hint="eastAsia" w:ascii="宋体" w:hAnsi="宋体" w:eastAsia="宋体" w:cs="宋体"/>
          <w:b/>
          <w:bCs/>
          <w:color w:val="000000"/>
          <w:sz w:val="18"/>
          <w:szCs w:val="18"/>
          <w:u w:val="single"/>
          <w:lang w:val="zh-TW"/>
        </w:rPr>
        <w:t>乙方将49台冰箱交付到甲方指定地点，经各相关方现场验收合格后，乙方开具供货清单经甲方签字确认，乙方出具相应的供货发票，甲方在90个工作日内付清乙方发票金额90%的供货费用，10%尾款作为质保金到质保期满后一次付清。如有冰箱</w:t>
      </w:r>
      <w:r>
        <w:rPr>
          <w:rFonts w:hint="eastAsia" w:ascii="宋体" w:hAnsi="宋体" w:eastAsia="宋体" w:cs="宋体"/>
          <w:b/>
          <w:bCs/>
          <w:color w:val="000000"/>
          <w:sz w:val="18"/>
          <w:szCs w:val="18"/>
          <w:highlight w:val="none"/>
          <w:u w:val="single"/>
          <w:lang w:val="zh-TW"/>
        </w:rPr>
        <w:t>现场验收及质保服务不合格，甲方有权拒绝签收及付款。</w:t>
      </w:r>
    </w:p>
    <w:p w14:paraId="4215A9E6">
      <w:pPr>
        <w:spacing w:after="0" w:line="240" w:lineRule="auto"/>
        <w:ind w:left="0" w:leftChars="0" w:firstLine="0" w:firstLineChars="0"/>
        <w:jc w:val="both"/>
        <w:rPr>
          <w:rFonts w:hint="default" w:ascii="宋体" w:hAnsi="宋体" w:eastAsia="宋体" w:cs="宋体"/>
          <w:b/>
          <w:bCs/>
          <w:color w:val="000000"/>
          <w:sz w:val="18"/>
          <w:szCs w:val="18"/>
          <w:highlight w:val="none"/>
          <w:u w:val="single"/>
          <w:lang w:val="en-US" w:eastAsia="zh-CN"/>
        </w:rPr>
      </w:pPr>
      <w:r>
        <w:rPr>
          <w:rFonts w:hint="eastAsia" w:ascii="宋体" w:hAnsi="宋体" w:eastAsia="宋体" w:cs="宋体"/>
          <w:b/>
          <w:bCs/>
          <w:color w:val="000000"/>
          <w:sz w:val="18"/>
          <w:szCs w:val="18"/>
          <w:highlight w:val="none"/>
          <w:u w:val="single"/>
          <w:lang w:val="en-US" w:eastAsia="zh-CN"/>
        </w:rPr>
        <w:t>三、交货期：合同签订后10个工作日内全部交付至甲方指定地点，甲方总务科组织验收，如质量不达标，甲方有权拒收，并追究乙方的违约责任。</w:t>
      </w:r>
    </w:p>
    <w:p w14:paraId="45707A63">
      <w:pPr>
        <w:spacing w:after="0" w:line="240" w:lineRule="auto"/>
        <w:ind w:left="0" w:leftChars="0" w:firstLine="0" w:firstLineChars="0"/>
        <w:jc w:val="both"/>
        <w:rPr>
          <w:rFonts w:hint="eastAsia" w:ascii="宋体" w:hAnsi="宋体" w:eastAsia="宋体" w:cs="宋体"/>
          <w:b/>
          <w:bCs/>
          <w:color w:val="000000"/>
          <w:sz w:val="18"/>
          <w:szCs w:val="18"/>
          <w:highlight w:val="none"/>
          <w:u w:val="none" w:color="auto"/>
          <w:lang w:val="en-US" w:eastAsia="zh-CN"/>
        </w:rPr>
      </w:pPr>
      <w:r>
        <w:rPr>
          <w:rFonts w:hint="eastAsia" w:ascii="宋体" w:hAnsi="宋体" w:eastAsia="宋体" w:cs="宋体"/>
          <w:b/>
          <w:bCs/>
          <w:color w:val="000000"/>
          <w:sz w:val="18"/>
          <w:szCs w:val="18"/>
          <w:highlight w:val="none"/>
          <w:u w:val="none" w:color="auto"/>
          <w:lang w:val="en-US" w:eastAsia="zh-CN"/>
        </w:rPr>
        <w:t>三</w:t>
      </w:r>
      <w:r>
        <w:rPr>
          <w:rFonts w:hint="eastAsia" w:ascii="宋体" w:hAnsi="宋体" w:eastAsia="宋体" w:cs="宋体"/>
          <w:b/>
          <w:bCs/>
          <w:color w:val="000000"/>
          <w:sz w:val="18"/>
          <w:szCs w:val="18"/>
          <w:highlight w:val="none"/>
          <w:u w:val="none" w:color="auto"/>
          <w:lang w:val="zh-TW"/>
        </w:rPr>
        <w:t>、</w:t>
      </w:r>
      <w:r>
        <w:rPr>
          <w:rFonts w:hint="eastAsia" w:ascii="宋体" w:hAnsi="宋体" w:eastAsia="宋体" w:cs="宋体"/>
          <w:b/>
          <w:bCs/>
          <w:color w:val="000000"/>
          <w:sz w:val="18"/>
          <w:szCs w:val="18"/>
          <w:highlight w:val="none"/>
          <w:u w:val="none" w:color="auto"/>
          <w:lang w:val="en-US" w:eastAsia="zh-CN"/>
        </w:rPr>
        <w:t>服务需求</w:t>
      </w:r>
    </w:p>
    <w:p w14:paraId="0E09C2FB">
      <w:pPr>
        <w:spacing w:after="0" w:line="240" w:lineRule="auto"/>
        <w:ind w:left="0" w:leftChars="0" w:firstLine="0" w:firstLineChars="0"/>
        <w:jc w:val="both"/>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1.49台单开两门冰箱（58L-60L,分冷藏室和冷冻室两个舱室）需供货交付到指定地点；</w:t>
      </w:r>
    </w:p>
    <w:p w14:paraId="35EEE6E2">
      <w:pPr>
        <w:spacing w:after="0" w:line="240" w:lineRule="auto"/>
        <w:ind w:left="0" w:leftChars="0" w:firstLine="0" w:firstLineChars="0"/>
        <w:jc w:val="both"/>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2.冰箱整机质保期≥3年。冰箱质保期内正常使用故障报修，供货商需半小时内响应，24小时内到现场维修或整机更换，一般故障当天修复，特殊故障需返厂维修，经双方协商尽快修复，尽可能不影响甲方的正常使用；</w:t>
      </w:r>
    </w:p>
    <w:p w14:paraId="3EA2FA15">
      <w:pPr>
        <w:spacing w:after="0" w:line="240" w:lineRule="auto"/>
        <w:ind w:left="0" w:leftChars="0" w:firstLine="0" w:firstLineChars="0"/>
        <w:jc w:val="both"/>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3.冰箱供货需提供销货清单、装箱单、产品合格证和产品质量证明书。</w:t>
      </w:r>
    </w:p>
    <w:p w14:paraId="7DF63D08">
      <w:pPr>
        <w:spacing w:after="0" w:line="240" w:lineRule="auto"/>
        <w:ind w:left="0" w:leftChars="0" w:firstLine="0" w:firstLineChars="0"/>
        <w:jc w:val="both"/>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4.供应商需提供冰箱使用指导及全套售后服务。</w:t>
      </w:r>
    </w:p>
    <w:p w14:paraId="6C0E73A4">
      <w:pPr>
        <w:spacing w:after="0" w:line="240" w:lineRule="auto"/>
        <w:ind w:left="0" w:leftChars="0" w:firstLine="0" w:firstLineChars="0"/>
        <w:jc w:val="both"/>
        <w:rPr>
          <w:rFonts w:hint="eastAsia" w:ascii="宋体" w:hAnsi="宋体" w:eastAsia="宋体" w:cs="宋体"/>
          <w:b/>
          <w:bCs/>
          <w:color w:val="000000"/>
          <w:sz w:val="18"/>
          <w:szCs w:val="18"/>
          <w:highlight w:val="none"/>
          <w:u w:val="none" w:color="auto"/>
          <w:lang w:val="en-US" w:eastAsia="zh-CN"/>
        </w:rPr>
      </w:pPr>
      <w:r>
        <w:rPr>
          <w:rFonts w:hint="eastAsia" w:ascii="宋体" w:hAnsi="宋体" w:eastAsia="宋体" w:cs="宋体"/>
          <w:b/>
          <w:bCs/>
          <w:color w:val="000000"/>
          <w:sz w:val="18"/>
          <w:szCs w:val="18"/>
          <w:highlight w:val="none"/>
          <w:u w:val="none" w:color="auto"/>
          <w:lang w:val="en-US" w:eastAsia="zh-CN"/>
        </w:rPr>
        <w:t>四、质量保证</w:t>
      </w:r>
    </w:p>
    <w:p w14:paraId="3C4C193C">
      <w:pPr>
        <w:spacing w:after="0" w:line="240" w:lineRule="auto"/>
        <w:ind w:left="0" w:leftChars="0" w:firstLine="0" w:firstLineChars="0"/>
        <w:jc w:val="both"/>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1.乙方应保证货物（包括零部件、配件）是全新、未使用过的、未拆封的原装合格正品（所供设备生产日期在6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93485BF">
      <w:pPr>
        <w:spacing w:after="0" w:line="240" w:lineRule="auto"/>
        <w:ind w:left="0" w:leftChars="0" w:firstLine="0" w:firstLineChars="0"/>
        <w:jc w:val="both"/>
        <w:rPr>
          <w:rFonts w:hint="default"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2.质保期内发生3次同一种重大质量问题，乙方无条件负责免费更换。在保修期内，如果原厂方鉴定设备因为人为损坏，厂方须出具具有法定权威性第三方检测证明，否则一律视为保修范围内容处理。质保期外乙方负责对本设备终身维修。</w:t>
      </w:r>
    </w:p>
    <w:p w14:paraId="20A9F6C7">
      <w:pPr>
        <w:spacing w:after="0" w:line="240" w:lineRule="auto"/>
        <w:ind w:left="0" w:leftChars="0" w:firstLine="0" w:firstLineChars="0"/>
        <w:jc w:val="both"/>
        <w:rPr>
          <w:rFonts w:hint="default" w:ascii="宋体" w:hAnsi="宋体" w:eastAsia="宋体" w:cs="宋体"/>
          <w:b/>
          <w:bCs/>
          <w:color w:val="000000"/>
          <w:sz w:val="18"/>
          <w:szCs w:val="18"/>
          <w:highlight w:val="none"/>
          <w:u w:val="none" w:color="auto"/>
          <w:lang w:val="en-US" w:eastAsia="zh-CN"/>
        </w:rPr>
      </w:pPr>
      <w:r>
        <w:rPr>
          <w:rFonts w:hint="eastAsia" w:ascii="宋体" w:hAnsi="宋体" w:eastAsia="宋体" w:cs="宋体"/>
          <w:b/>
          <w:bCs/>
          <w:color w:val="000000"/>
          <w:sz w:val="18"/>
          <w:szCs w:val="18"/>
          <w:highlight w:val="none"/>
          <w:u w:val="none" w:color="auto"/>
          <w:lang w:val="en-US" w:eastAsia="zh-CN"/>
        </w:rPr>
        <w:t>五、双方权利与义务</w:t>
      </w:r>
    </w:p>
    <w:p w14:paraId="5FB23325">
      <w:pPr>
        <w:spacing w:after="0" w:line="240" w:lineRule="auto"/>
        <w:ind w:left="0" w:leftChars="0" w:firstLine="0" w:firstLineChars="0"/>
        <w:jc w:val="both"/>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甲方权利与义务：</w:t>
      </w:r>
    </w:p>
    <w:p w14:paraId="5E152D6F">
      <w:pPr>
        <w:spacing w:after="0" w:line="240" w:lineRule="auto"/>
        <w:ind w:left="0" w:leftChars="0" w:firstLine="0" w:firstLineChars="0"/>
        <w:jc w:val="both"/>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1.甲方负责向乙方提供冰箱验收后的使用情况等信息。总务科负责监督质保期内冰箱故障报修及跟踪（电话：56232027）；</w:t>
      </w:r>
    </w:p>
    <w:p w14:paraId="5BA3BAD6">
      <w:pPr>
        <w:spacing w:after="0" w:line="240" w:lineRule="auto"/>
        <w:ind w:left="0" w:leftChars="0" w:firstLine="0" w:firstLineChars="0"/>
        <w:jc w:val="both"/>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2.在冰箱出现故障时应及时通知乙方，并在乙方维修过程中提供力所能及的便利条件；</w:t>
      </w:r>
    </w:p>
    <w:p w14:paraId="058E51AE">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乙方权利与义务：</w:t>
      </w:r>
    </w:p>
    <w:p w14:paraId="02E9C656">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1.乙方负责质保期内冰箱的维修维保事宜，确保甲方空调正常使用；</w:t>
      </w:r>
    </w:p>
    <w:p w14:paraId="64B12C5B">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2.冰箱供货、质保期及售后服务的整个过程中，因乙方原因导致甲方第三人人身或财产受到损害的，由乙方承担损害赔偿责任；</w:t>
      </w:r>
    </w:p>
    <w:p w14:paraId="7E815B18">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3. 乙方需为冰箱供货、质保期及售后服务购买相关足额保险费。</w:t>
      </w:r>
    </w:p>
    <w:p w14:paraId="2B17F15A">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六</w:t>
      </w:r>
      <w:r>
        <w:rPr>
          <w:rFonts w:hint="eastAsia" w:ascii="宋体" w:hAnsi="宋体" w:eastAsia="宋体" w:cs="宋体"/>
          <w:b/>
          <w:bCs/>
          <w:color w:val="000000"/>
          <w:sz w:val="18"/>
          <w:szCs w:val="18"/>
          <w:u w:val="none" w:color="auto"/>
          <w:lang w:val="zh-TW" w:eastAsia="zh-CN"/>
        </w:rPr>
        <w:t>、违约责任</w:t>
      </w:r>
    </w:p>
    <w:p w14:paraId="21E9A623">
      <w:pPr>
        <w:spacing w:after="0" w:line="240" w:lineRule="auto"/>
        <w:ind w:left="0" w:leftChars="0" w:firstLine="0" w:firstLineChars="0"/>
        <w:jc w:val="both"/>
        <w:rPr>
          <w:rFonts w:hint="eastAsia" w:ascii="宋体" w:hAnsi="宋体" w:eastAsia="宋体" w:cs="宋体"/>
          <w:b w:val="0"/>
          <w:bCs w:val="0"/>
          <w:color w:val="000000"/>
          <w:sz w:val="18"/>
          <w:szCs w:val="18"/>
          <w:u w:val="none"/>
          <w:lang w:val="zh-TW" w:eastAsia="zh-CN"/>
        </w:rPr>
      </w:pPr>
      <w:r>
        <w:rPr>
          <w:rFonts w:hint="eastAsia" w:ascii="宋体" w:hAnsi="宋体" w:eastAsia="宋体" w:cs="宋体"/>
          <w:b w:val="0"/>
          <w:bCs w:val="0"/>
          <w:color w:val="000000"/>
          <w:sz w:val="18"/>
          <w:szCs w:val="18"/>
          <w:u w:val="none"/>
          <w:lang w:val="en-US" w:eastAsia="zh-CN"/>
        </w:rPr>
        <w:t xml:space="preserve">  乙方不得逾期交付货物，乙方每逾期一天交货，甲方按合同总价的5‰/日收取违约金；如逾期交货时间超过10天，甲方有权解除合同，乙方应按照合同总价的30%支付赔偿金。</w:t>
      </w:r>
    </w:p>
    <w:p w14:paraId="5E52E376">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七</w:t>
      </w:r>
      <w:r>
        <w:rPr>
          <w:rFonts w:hint="eastAsia" w:ascii="宋体" w:hAnsi="宋体" w:eastAsia="宋体" w:cs="宋体"/>
          <w:b/>
          <w:bCs/>
          <w:color w:val="000000"/>
          <w:sz w:val="18"/>
          <w:szCs w:val="18"/>
          <w:u w:val="none" w:color="auto"/>
          <w:lang w:val="zh-TW" w:eastAsia="zh-CN"/>
        </w:rPr>
        <w:t>、争议解决</w:t>
      </w:r>
    </w:p>
    <w:p w14:paraId="538016F0">
      <w:pPr>
        <w:spacing w:after="0" w:line="240" w:lineRule="auto"/>
        <w:ind w:left="0" w:leftChars="0" w:firstLine="180" w:firstLineChars="100"/>
        <w:jc w:val="both"/>
        <w:rPr>
          <w:rFonts w:hint="eastAsia" w:ascii="宋体" w:hAnsi="宋体" w:eastAsia="宋体" w:cs="宋体"/>
          <w:b w:val="0"/>
          <w:bCs w:val="0"/>
          <w:color w:val="000000"/>
          <w:sz w:val="18"/>
          <w:szCs w:val="18"/>
          <w:u w:val="none"/>
          <w:lang w:val="zh-TW" w:eastAsia="zh-CN"/>
        </w:rPr>
      </w:pPr>
      <w:r>
        <w:rPr>
          <w:rFonts w:hint="eastAsia" w:ascii="宋体" w:hAnsi="宋体" w:eastAsia="宋体" w:cs="宋体"/>
          <w:b w:val="0"/>
          <w:bCs w:val="0"/>
          <w:color w:val="000000"/>
          <w:sz w:val="18"/>
          <w:szCs w:val="18"/>
          <w:u w:val="none"/>
          <w:lang w:val="zh-TW" w:eastAsia="zh-CN"/>
        </w:rPr>
        <w:t>本合同的订立、效力、解释、履行和争议的解决受中华人民共和国法律管辖。</w:t>
      </w:r>
    </w:p>
    <w:p w14:paraId="2274838A">
      <w:pPr>
        <w:spacing w:after="0" w:line="240" w:lineRule="auto"/>
        <w:ind w:left="0" w:leftChars="0" w:firstLine="0" w:firstLineChars="0"/>
        <w:jc w:val="both"/>
        <w:rPr>
          <w:rFonts w:hint="eastAsia" w:ascii="宋体" w:hAnsi="宋体" w:eastAsia="宋体" w:cs="宋体"/>
          <w:b w:val="0"/>
          <w:bCs w:val="0"/>
          <w:color w:val="000000"/>
          <w:sz w:val="18"/>
          <w:szCs w:val="18"/>
          <w:u w:val="none"/>
          <w:lang w:val="zh-TW" w:eastAsia="zh-CN"/>
        </w:rPr>
      </w:pPr>
      <w:r>
        <w:rPr>
          <w:rFonts w:hint="eastAsia" w:ascii="宋体" w:hAnsi="宋体" w:eastAsia="宋体" w:cs="宋体"/>
          <w:b w:val="0"/>
          <w:bCs w:val="0"/>
          <w:color w:val="000000"/>
          <w:sz w:val="18"/>
          <w:szCs w:val="18"/>
          <w:u w:val="none"/>
          <w:lang w:val="zh-TW" w:eastAsia="zh-CN"/>
        </w:rPr>
        <w:t>所有因本合同引起的或与本合同有关的任何争议将通过双方友好协商解决。协商解决不成的，双方均同意提交乙方所在地人民法院解决。如甲、乙双方对软件升级、迁移、服务等技术性问题有争议时，应当申请具有资质的第三方鉴定作为依据，鉴定费用由甲乙双方平均承担。</w:t>
      </w:r>
    </w:p>
    <w:p w14:paraId="0C73BE6E">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八</w:t>
      </w:r>
      <w:r>
        <w:rPr>
          <w:rFonts w:hint="eastAsia" w:ascii="宋体" w:hAnsi="宋体" w:eastAsia="宋体" w:cs="宋体"/>
          <w:b/>
          <w:bCs/>
          <w:color w:val="000000"/>
          <w:sz w:val="18"/>
          <w:szCs w:val="18"/>
          <w:u w:val="none" w:color="auto"/>
          <w:lang w:val="zh-TW" w:eastAsia="zh-CN"/>
        </w:rPr>
        <w:t>、合同的变更和终止</w:t>
      </w:r>
    </w:p>
    <w:p w14:paraId="5942A5BC">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1、除《政府采购法》第50条第二款规定的情形外，本合同一经签订，甲乙双方不得擅自变更、中止或终止合同。</w:t>
      </w:r>
    </w:p>
    <w:p w14:paraId="45EB939C">
      <w:pPr>
        <w:spacing w:after="0" w:line="240" w:lineRule="auto"/>
        <w:ind w:left="0" w:leftChars="0" w:firstLine="0" w:firstLineChars="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2、除发生法律规定的不能预见、不能避免并不能克服的客观情况外，甲乙双方不得放弃或拒绝履行合同。乙方放弃或拒绝履行合同的，将被列入我院采购黑名单，在三年内拒绝参加我院任何采购活动。</w:t>
      </w:r>
    </w:p>
    <w:p w14:paraId="2E97AC02">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en-US" w:eastAsia="zh-CN"/>
        </w:rPr>
        <w:t>九</w:t>
      </w:r>
      <w:r>
        <w:rPr>
          <w:rFonts w:hint="eastAsia" w:ascii="宋体" w:hAnsi="宋体" w:eastAsia="宋体" w:cs="宋体"/>
          <w:b/>
          <w:bCs/>
          <w:color w:val="000000"/>
          <w:sz w:val="18"/>
          <w:szCs w:val="18"/>
          <w:u w:val="none" w:color="auto"/>
          <w:lang w:val="zh-TW" w:eastAsia="zh-CN"/>
        </w:rPr>
        <w:t>、合同的转让</w:t>
      </w:r>
    </w:p>
    <w:p w14:paraId="2F71885F">
      <w:pPr>
        <w:spacing w:after="0" w:line="240" w:lineRule="auto"/>
        <w:ind w:left="0" w:leftChars="0" w:firstLine="360" w:firstLineChars="20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乙方不得擅自部分或全部转让其应履行的合同义务。</w:t>
      </w:r>
    </w:p>
    <w:p w14:paraId="5793D2F6">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zh-TW" w:eastAsia="zh-CN"/>
        </w:rPr>
        <w:t xml:space="preserve">十、诚实信用 </w:t>
      </w:r>
    </w:p>
    <w:p w14:paraId="728939E3">
      <w:pPr>
        <w:spacing w:after="0" w:line="240" w:lineRule="auto"/>
        <w:ind w:left="0" w:leftChars="0" w:firstLine="360" w:firstLineChars="20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乙方应诚实信用，严格按照甲方调研要求和乙方承诺履行合同，不向甲方进行商业贿赂或者提供不正当利益。</w:t>
      </w:r>
    </w:p>
    <w:p w14:paraId="57C110E1">
      <w:pPr>
        <w:numPr>
          <w:ilvl w:val="0"/>
          <w:numId w:val="0"/>
        </w:numPr>
        <w:spacing w:line="300" w:lineRule="exact"/>
        <w:rPr>
          <w:rFonts w:hint="eastAsia" w:ascii="宋体" w:hAnsi="宋体" w:eastAsia="宋体" w:cs="宋体"/>
          <w:b/>
          <w:bCs/>
          <w:color w:val="000000"/>
          <w:sz w:val="18"/>
          <w:szCs w:val="18"/>
          <w:u w:val="none" w:color="auto"/>
          <w:lang w:val="zh-TW" w:eastAsia="zh-CN"/>
        </w:rPr>
      </w:pPr>
      <w:r>
        <w:rPr>
          <w:rFonts w:hint="eastAsia" w:ascii="宋体" w:hAnsi="宋体" w:eastAsia="宋体" w:cs="宋体"/>
          <w:b/>
          <w:bCs/>
          <w:color w:val="000000"/>
          <w:sz w:val="18"/>
          <w:szCs w:val="18"/>
          <w:u w:val="none" w:color="auto"/>
          <w:lang w:val="zh-TW" w:eastAsia="zh-CN"/>
        </w:rPr>
        <w:t>十</w:t>
      </w:r>
      <w:r>
        <w:rPr>
          <w:rFonts w:hint="eastAsia" w:ascii="宋体" w:hAnsi="宋体" w:eastAsia="宋体" w:cs="宋体"/>
          <w:b/>
          <w:bCs/>
          <w:color w:val="000000"/>
          <w:sz w:val="18"/>
          <w:szCs w:val="18"/>
          <w:u w:val="none" w:color="auto"/>
          <w:lang w:val="en-US" w:eastAsia="zh-CN"/>
        </w:rPr>
        <w:t>一</w:t>
      </w:r>
      <w:r>
        <w:rPr>
          <w:rFonts w:hint="eastAsia" w:ascii="宋体" w:hAnsi="宋体" w:eastAsia="宋体" w:cs="宋体"/>
          <w:b/>
          <w:bCs/>
          <w:color w:val="000000"/>
          <w:sz w:val="18"/>
          <w:szCs w:val="18"/>
          <w:u w:val="none" w:color="auto"/>
          <w:lang w:val="zh-TW" w:eastAsia="zh-CN"/>
        </w:rPr>
        <w:t xml:space="preserve">、合同生效及其他 </w:t>
      </w:r>
    </w:p>
    <w:p w14:paraId="347816B3">
      <w:pPr>
        <w:spacing w:after="0" w:line="240" w:lineRule="auto"/>
        <w:ind w:left="0" w:leftChars="0" w:firstLine="360" w:firstLineChars="200"/>
        <w:jc w:val="both"/>
        <w:rPr>
          <w:rFonts w:hint="eastAsia" w:ascii="宋体" w:hAnsi="宋体" w:eastAsia="宋体" w:cs="宋体"/>
          <w:b w:val="0"/>
          <w:bCs w:val="0"/>
          <w:color w:val="000000"/>
          <w:sz w:val="18"/>
          <w:szCs w:val="18"/>
          <w:u w:val="none"/>
          <w:lang w:val="en-US" w:eastAsia="zh-CN"/>
        </w:rPr>
      </w:pPr>
      <w:r>
        <w:rPr>
          <w:rFonts w:hint="eastAsia" w:ascii="宋体" w:hAnsi="宋体" w:eastAsia="宋体" w:cs="宋体"/>
          <w:b w:val="0"/>
          <w:bCs w:val="0"/>
          <w:color w:val="000000"/>
          <w:sz w:val="18"/>
          <w:szCs w:val="18"/>
          <w:u w:val="none"/>
          <w:lang w:val="en-US" w:eastAsia="zh-CN"/>
        </w:rPr>
        <w:t>本合同经双方法定代表人或授权委托代表人签字或签章并加盖单位公章后生效。本合同正本一式叁份，具有同等法律效力，甲方执两份，乙方执一份。乙方服务承诺是本合同不可或缺的部分，与合同具有同等效力。本合同未尽事宜，遵照《民法典》有关条文执行。（以下无正文）</w:t>
      </w:r>
    </w:p>
    <w:p w14:paraId="48FD5118">
      <w:pPr>
        <w:spacing w:line="360" w:lineRule="auto"/>
        <w:ind w:firstLine="4016" w:firstLineChars="1000"/>
        <w:rPr>
          <w:rFonts w:hint="eastAsia"/>
          <w:sz w:val="40"/>
          <w:szCs w:val="40"/>
          <w:u w:val="none"/>
        </w:rPr>
      </w:pPr>
    </w:p>
    <w:p w14:paraId="4E246EF5">
      <w:pPr>
        <w:spacing w:line="360" w:lineRule="auto"/>
        <w:ind w:firstLine="4016" w:firstLineChars="1000"/>
        <w:rPr>
          <w:rFonts w:hint="eastAsia"/>
          <w:sz w:val="40"/>
          <w:szCs w:val="40"/>
          <w:u w:val="none"/>
        </w:rPr>
      </w:pPr>
    </w:p>
    <w:p w14:paraId="61A337F5">
      <w:pPr>
        <w:spacing w:line="360" w:lineRule="auto"/>
        <w:ind w:firstLine="4016" w:firstLineChars="1000"/>
        <w:rPr>
          <w:rFonts w:hint="eastAsia"/>
          <w:sz w:val="40"/>
          <w:szCs w:val="40"/>
          <w:u w:val="none"/>
        </w:rPr>
      </w:pPr>
    </w:p>
    <w:p w14:paraId="29B4383C">
      <w:pPr>
        <w:spacing w:line="360" w:lineRule="auto"/>
        <w:ind w:firstLine="4016" w:firstLineChars="1000"/>
        <w:rPr>
          <w:sz w:val="40"/>
          <w:szCs w:val="40"/>
          <w:u w:val="none"/>
        </w:rPr>
      </w:pPr>
      <w:bookmarkStart w:id="29" w:name="_GoBack"/>
      <w:bookmarkEnd w:id="29"/>
      <w:r>
        <w:rPr>
          <w:rFonts w:hint="eastAsia"/>
          <w:sz w:val="40"/>
          <w:szCs w:val="40"/>
          <w:u w:val="none"/>
        </w:rPr>
        <w:t>风险提示函</w:t>
      </w:r>
    </w:p>
    <w:p w14:paraId="2747331D">
      <w:pPr>
        <w:spacing w:line="360" w:lineRule="auto"/>
        <w:rPr>
          <w:u w:val="none"/>
        </w:rPr>
      </w:pPr>
      <w:r>
        <w:rPr>
          <w:rFonts w:hint="eastAsia"/>
          <w:u w:val="none"/>
        </w:rPr>
        <w:t>根据近期审计、巡查的情况，按照</w:t>
      </w:r>
      <w:r>
        <w:rPr>
          <w:rFonts w:hint="eastAsia" w:ascii="宋体" w:hAnsi="宋体"/>
          <w:u w:val="none"/>
        </w:rPr>
        <w:t>«中华人民共和国政府采购法实施条例»第十八条单位负责人为同一人或者存在直接控股、管理关系的不同供应商，不得参加同一合同项下的政府采购活动。</w:t>
      </w:r>
      <w:r>
        <w:rPr>
          <w:rFonts w:hint="eastAsia"/>
          <w:u w:val="none"/>
        </w:rPr>
        <w:t>各投标人应高度重视，单位负责人为同一人，以及与其公司有同一控股关系、股权伙伴关系的公司，不得参与同一合同项目的投标，否则有围标、串标之嫌疑，其风险自行承担。</w:t>
      </w:r>
    </w:p>
    <w:p w14:paraId="2BFB02D3">
      <w:pPr>
        <w:spacing w:line="400" w:lineRule="exact"/>
        <w:ind w:firstLine="560"/>
        <w:rPr>
          <w:rFonts w:hint="default" w:cs="仿宋"/>
          <w:b w:val="0"/>
          <w:bCs w:val="0"/>
          <w:sz w:val="24"/>
          <w:szCs w:val="24"/>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23549"/>
    <w:multiLevelType w:val="singleLevel"/>
    <w:tmpl w:val="A9823549"/>
    <w:lvl w:ilvl="0" w:tentative="0">
      <w:start w:val="2"/>
      <w:numFmt w:val="chineseCounting"/>
      <w:suff w:val="nothing"/>
      <w:lvlText w:val="%1、"/>
      <w:lvlJc w:val="left"/>
      <w:rPr>
        <w:rFonts w:hint="eastAsia"/>
      </w:rPr>
    </w:lvl>
  </w:abstractNum>
  <w:abstractNum w:abstractNumId="1">
    <w:nsid w:val="0A73A153"/>
    <w:multiLevelType w:val="singleLevel"/>
    <w:tmpl w:val="0A73A153"/>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
    <w:nsid w:val="67A2B52B"/>
    <w:multiLevelType w:val="singleLevel"/>
    <w:tmpl w:val="67A2B52B"/>
    <w:lvl w:ilvl="0" w:tentative="0">
      <w:start w:val="1"/>
      <w:numFmt w:val="chineseCounting"/>
      <w:suff w:val="space"/>
      <w:lvlText w:val="第%1部分"/>
      <w:lvlJc w:val="left"/>
      <w:pPr>
        <w:ind w:left="2610" w:leftChars="0" w:firstLine="0" w:firstLineChars="0"/>
      </w:pPr>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78100FA"/>
    <w:rsid w:val="08C3481A"/>
    <w:rsid w:val="09594CC4"/>
    <w:rsid w:val="0C351327"/>
    <w:rsid w:val="0CBC3E25"/>
    <w:rsid w:val="0CDB51C5"/>
    <w:rsid w:val="0D784498"/>
    <w:rsid w:val="0DCD726B"/>
    <w:rsid w:val="0E9B21F9"/>
    <w:rsid w:val="0F672DA8"/>
    <w:rsid w:val="1083694C"/>
    <w:rsid w:val="11140D0D"/>
    <w:rsid w:val="113D0264"/>
    <w:rsid w:val="11A55E09"/>
    <w:rsid w:val="129B16E6"/>
    <w:rsid w:val="139D414E"/>
    <w:rsid w:val="15F9365C"/>
    <w:rsid w:val="167C538B"/>
    <w:rsid w:val="172E012D"/>
    <w:rsid w:val="17547981"/>
    <w:rsid w:val="17A80770"/>
    <w:rsid w:val="1C2529FF"/>
    <w:rsid w:val="1C8A4C9C"/>
    <w:rsid w:val="1E6C03DB"/>
    <w:rsid w:val="1F8E1CF8"/>
    <w:rsid w:val="21035955"/>
    <w:rsid w:val="215A276C"/>
    <w:rsid w:val="23201794"/>
    <w:rsid w:val="23201F60"/>
    <w:rsid w:val="232C1E94"/>
    <w:rsid w:val="25D32AED"/>
    <w:rsid w:val="26F43327"/>
    <w:rsid w:val="274A419B"/>
    <w:rsid w:val="278F4358"/>
    <w:rsid w:val="27BB1274"/>
    <w:rsid w:val="28183630"/>
    <w:rsid w:val="288829C2"/>
    <w:rsid w:val="289C7F3C"/>
    <w:rsid w:val="29220EF6"/>
    <w:rsid w:val="29717FD8"/>
    <w:rsid w:val="2AB47EB4"/>
    <w:rsid w:val="2B8A65D1"/>
    <w:rsid w:val="2C4F66C1"/>
    <w:rsid w:val="2C917248"/>
    <w:rsid w:val="2DC564E6"/>
    <w:rsid w:val="2EC2174A"/>
    <w:rsid w:val="2FAB0A48"/>
    <w:rsid w:val="312F39C2"/>
    <w:rsid w:val="32EC2DE5"/>
    <w:rsid w:val="3361798A"/>
    <w:rsid w:val="34A70742"/>
    <w:rsid w:val="34E30FF8"/>
    <w:rsid w:val="362E19ED"/>
    <w:rsid w:val="36C51A8B"/>
    <w:rsid w:val="38477A29"/>
    <w:rsid w:val="38E2045E"/>
    <w:rsid w:val="3A5B56B7"/>
    <w:rsid w:val="3B522D42"/>
    <w:rsid w:val="3C1341E6"/>
    <w:rsid w:val="3C171533"/>
    <w:rsid w:val="3C3420E0"/>
    <w:rsid w:val="3D5F13DF"/>
    <w:rsid w:val="3E401A7F"/>
    <w:rsid w:val="3F8C69B3"/>
    <w:rsid w:val="403F29F9"/>
    <w:rsid w:val="4045536F"/>
    <w:rsid w:val="413F4E58"/>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7623B4D"/>
    <w:rsid w:val="591438A3"/>
    <w:rsid w:val="5A054C64"/>
    <w:rsid w:val="5AE34FA5"/>
    <w:rsid w:val="5B5072E3"/>
    <w:rsid w:val="5C314C9D"/>
    <w:rsid w:val="5DDD2297"/>
    <w:rsid w:val="5E812CDF"/>
    <w:rsid w:val="5FB177E8"/>
    <w:rsid w:val="61365212"/>
    <w:rsid w:val="62620EA5"/>
    <w:rsid w:val="63B53257"/>
    <w:rsid w:val="65984BDE"/>
    <w:rsid w:val="66DA2A9C"/>
    <w:rsid w:val="66E44404"/>
    <w:rsid w:val="6736026A"/>
    <w:rsid w:val="688309D1"/>
    <w:rsid w:val="694C2C2B"/>
    <w:rsid w:val="6A04258F"/>
    <w:rsid w:val="6BF16DF6"/>
    <w:rsid w:val="6DD95D94"/>
    <w:rsid w:val="6E3F1A2D"/>
    <w:rsid w:val="6EA53724"/>
    <w:rsid w:val="704213F0"/>
    <w:rsid w:val="71363BAA"/>
    <w:rsid w:val="726F0C19"/>
    <w:rsid w:val="72E176CB"/>
    <w:rsid w:val="737E18B7"/>
    <w:rsid w:val="74C21625"/>
    <w:rsid w:val="75267B11"/>
    <w:rsid w:val="765121C2"/>
    <w:rsid w:val="771860A1"/>
    <w:rsid w:val="780F1669"/>
    <w:rsid w:val="78581143"/>
    <w:rsid w:val="7AB4735A"/>
    <w:rsid w:val="7C400B1D"/>
    <w:rsid w:val="7D7034AA"/>
    <w:rsid w:val="7EAE28EF"/>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4886</Words>
  <Characters>5136</Characters>
  <Lines>36</Lines>
  <Paragraphs>10</Paragraphs>
  <TotalTime>0</TotalTime>
  <ScaleCrop>false</ScaleCrop>
  <LinksUpToDate>false</LinksUpToDate>
  <CharactersWithSpaces>5462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2025-04-18T09:09:35Z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