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CCE79">
      <w:pPr>
        <w:pStyle w:val="20"/>
        <w:ind w:firstLine="0"/>
        <w:jc w:val="both"/>
        <w:rPr>
          <w:rFonts w:eastAsia="黑体"/>
          <w:b/>
          <w:bCs/>
          <w:sz w:val="84"/>
        </w:rPr>
      </w:pPr>
    </w:p>
    <w:p w14:paraId="6A99B4A6">
      <w:pPr>
        <w:pStyle w:val="20"/>
        <w:ind w:firstLine="0"/>
        <w:jc w:val="both"/>
        <w:rPr>
          <w:rFonts w:eastAsia="黑体"/>
          <w:b/>
          <w:bCs/>
          <w:sz w:val="84"/>
        </w:rPr>
      </w:pPr>
    </w:p>
    <w:p w14:paraId="25B42317">
      <w:pPr>
        <w:pStyle w:val="20"/>
        <w:ind w:firstLine="0"/>
        <w:jc w:val="center"/>
        <w:rPr>
          <w:rFonts w:eastAsia="黑体"/>
          <w:b/>
          <w:bCs/>
          <w:sz w:val="84"/>
        </w:rPr>
      </w:pPr>
      <w:r>
        <w:rPr>
          <w:rFonts w:hint="eastAsia" w:eastAsia="黑体"/>
          <w:b/>
          <w:bCs/>
          <w:sz w:val="84"/>
        </w:rPr>
        <w:t xml:space="preserve">单一来源      </w:t>
      </w:r>
    </w:p>
    <w:p w14:paraId="0AB2FA95">
      <w:pPr>
        <w:pStyle w:val="20"/>
        <w:ind w:firstLine="0"/>
        <w:jc w:val="center"/>
        <w:rPr>
          <w:rFonts w:eastAsia="黑体"/>
          <w:b/>
          <w:bCs/>
          <w:sz w:val="84"/>
        </w:rPr>
      </w:pPr>
      <w:r>
        <w:rPr>
          <w:rFonts w:hint="eastAsia" w:eastAsia="黑体"/>
          <w:b/>
          <w:bCs/>
          <w:sz w:val="84"/>
        </w:rPr>
        <w:t>采购文件</w:t>
      </w:r>
    </w:p>
    <w:p w14:paraId="0F43D5B6">
      <w:pPr>
        <w:pStyle w:val="20"/>
        <w:ind w:firstLine="0"/>
        <w:jc w:val="center"/>
        <w:rPr>
          <w:b/>
          <w:bCs/>
          <w:sz w:val="32"/>
        </w:rPr>
      </w:pPr>
    </w:p>
    <w:p w14:paraId="386A67B5">
      <w:pPr>
        <w:adjustRightInd w:val="0"/>
        <w:spacing w:before="120" w:after="120" w:line="360" w:lineRule="auto"/>
        <w:jc w:val="center"/>
        <w:textAlignment w:val="baseline"/>
        <w:rPr>
          <w:rFonts w:ascii="宋体" w:hAnsi="宋体" w:cs="宋体"/>
          <w:b/>
          <w:bCs/>
          <w:kern w:val="0"/>
          <w:position w:val="-10"/>
          <w:sz w:val="32"/>
          <w:szCs w:val="32"/>
        </w:rPr>
      </w:pPr>
    </w:p>
    <w:p w14:paraId="65195442">
      <w:pPr>
        <w:adjustRightInd w:val="0"/>
        <w:spacing w:before="120" w:after="120" w:line="360" w:lineRule="auto"/>
        <w:ind w:firstLine="1928" w:firstLineChars="600"/>
        <w:textAlignment w:val="baseline"/>
        <w:rPr>
          <w:rFonts w:hint="default" w:ascii="宋体" w:hAnsi="宋体" w:eastAsia="宋体" w:cs="宋体"/>
          <w:b/>
          <w:bCs/>
          <w:lang w:val="en-US" w:eastAsia="zh-CN" w:bidi="ar"/>
        </w:rPr>
      </w:pPr>
      <w:r>
        <w:rPr>
          <w:rFonts w:hint="eastAsia" w:ascii="宋体" w:hAnsi="宋体" w:cs="宋体"/>
          <w:b/>
          <w:bCs/>
          <w:kern w:val="0"/>
          <w:position w:val="-10"/>
          <w:sz w:val="32"/>
          <w:szCs w:val="32"/>
        </w:rPr>
        <w:t>项目名称：门诊智能排队叫号管理系统</w:t>
      </w:r>
      <w:r>
        <w:rPr>
          <w:rFonts w:hint="eastAsia" w:ascii="宋体" w:hAnsi="宋体" w:cs="宋体"/>
          <w:b/>
          <w:bCs/>
          <w:kern w:val="0"/>
          <w:position w:val="-10"/>
          <w:sz w:val="32"/>
          <w:szCs w:val="32"/>
          <w:lang w:eastAsia="zh-CN"/>
        </w:rPr>
        <w:t>、</w:t>
      </w:r>
      <w:r>
        <w:rPr>
          <w:rFonts w:hint="eastAsia" w:ascii="宋体" w:hAnsi="宋体" w:cs="宋体"/>
          <w:b/>
          <w:bCs/>
          <w:kern w:val="0"/>
          <w:position w:val="-10"/>
          <w:sz w:val="32"/>
          <w:szCs w:val="32"/>
          <w:lang w:val="en-US" w:eastAsia="zh-CN"/>
        </w:rPr>
        <w:t>医院绩效</w:t>
      </w:r>
      <w:bookmarkStart w:id="175" w:name="_GoBack"/>
      <w:bookmarkEnd w:id="175"/>
    </w:p>
    <w:p w14:paraId="17C24916">
      <w:pPr>
        <w:adjustRightInd w:val="0"/>
        <w:spacing w:before="120" w:after="120" w:line="360" w:lineRule="auto"/>
        <w:ind w:firstLine="1928" w:firstLineChars="600"/>
        <w:textAlignment w:val="baseline"/>
        <w:rPr>
          <w:rFonts w:ascii="宋体" w:hAnsi="宋体" w:cs="宋体"/>
          <w:b/>
          <w:bCs/>
          <w:kern w:val="0"/>
          <w:position w:val="-10"/>
          <w:sz w:val="32"/>
          <w:szCs w:val="32"/>
        </w:rPr>
      </w:pPr>
      <w:r>
        <w:rPr>
          <w:rFonts w:hint="eastAsia" w:ascii="宋体" w:hAnsi="宋体" w:cs="宋体"/>
          <w:b/>
          <w:bCs/>
          <w:kern w:val="0"/>
          <w:position w:val="-10"/>
          <w:sz w:val="32"/>
          <w:szCs w:val="32"/>
        </w:rPr>
        <w:t>项目编号：LSRY-ZB2025-X007</w:t>
      </w:r>
    </w:p>
    <w:p w14:paraId="137A940E">
      <w:pPr>
        <w:adjustRightInd w:val="0"/>
        <w:spacing w:line="360" w:lineRule="auto"/>
        <w:jc w:val="left"/>
        <w:textAlignment w:val="baseline"/>
        <w:rPr>
          <w:rFonts w:ascii="宋体" w:hAnsi="宋体" w:cs="宋体"/>
          <w:b/>
          <w:bCs/>
          <w:kern w:val="0"/>
          <w:position w:val="-10"/>
          <w:sz w:val="24"/>
          <w:szCs w:val="24"/>
        </w:rPr>
      </w:pPr>
    </w:p>
    <w:p w14:paraId="608EA65D">
      <w:pPr>
        <w:adjustRightInd w:val="0"/>
        <w:spacing w:line="360" w:lineRule="auto"/>
        <w:jc w:val="left"/>
        <w:textAlignment w:val="baseline"/>
        <w:rPr>
          <w:rFonts w:ascii="宋体" w:hAnsi="宋体" w:cs="宋体"/>
          <w:b/>
          <w:bCs/>
          <w:kern w:val="0"/>
          <w:position w:val="-10"/>
          <w:sz w:val="24"/>
          <w:szCs w:val="24"/>
        </w:rPr>
      </w:pPr>
    </w:p>
    <w:p w14:paraId="5B913059">
      <w:pPr>
        <w:adjustRightInd w:val="0"/>
        <w:spacing w:line="360" w:lineRule="auto"/>
        <w:textAlignment w:val="baseline"/>
        <w:rPr>
          <w:rFonts w:ascii="宋体" w:hAnsi="宋体" w:cs="宋体"/>
          <w:b/>
          <w:bCs/>
          <w:kern w:val="0"/>
          <w:position w:val="-10"/>
          <w:sz w:val="32"/>
          <w:szCs w:val="24"/>
        </w:rPr>
      </w:pPr>
      <w:r>
        <w:rPr>
          <w:rFonts w:hint="eastAsia" w:ascii="宋体" w:hAnsi="宋体" w:cs="宋体"/>
          <w:b/>
          <w:bCs/>
          <w:kern w:val="0"/>
          <w:position w:val="-10"/>
          <w:sz w:val="32"/>
          <w:szCs w:val="24"/>
        </w:rPr>
        <w:t xml:space="preserve"> </w:t>
      </w:r>
    </w:p>
    <w:p w14:paraId="6BF8BC1E">
      <w:pPr>
        <w:adjustRightInd w:val="0"/>
        <w:spacing w:line="360" w:lineRule="auto"/>
        <w:ind w:firstLine="2570" w:firstLineChars="800"/>
        <w:textAlignment w:val="baseline"/>
        <w:rPr>
          <w:rFonts w:ascii="宋体" w:hAnsi="宋体" w:cs="宋体"/>
          <w:b/>
          <w:kern w:val="0"/>
          <w:position w:val="-10"/>
          <w:sz w:val="32"/>
          <w:szCs w:val="24"/>
        </w:rPr>
      </w:pPr>
      <w:r>
        <w:rPr>
          <w:rFonts w:hint="eastAsia" w:ascii="宋体" w:hAnsi="宋体" w:cs="宋体"/>
          <w:b/>
          <w:kern w:val="0"/>
          <w:position w:val="-10"/>
          <w:sz w:val="32"/>
          <w:szCs w:val="24"/>
        </w:rPr>
        <w:t xml:space="preserve">南京市溧水区人民医院 </w:t>
      </w:r>
    </w:p>
    <w:p w14:paraId="4055B96B">
      <w:pPr>
        <w:adjustRightInd w:val="0"/>
        <w:spacing w:line="360" w:lineRule="auto"/>
        <w:ind w:firstLine="2891" w:firstLineChars="900"/>
        <w:textAlignment w:val="baseline"/>
        <w:rPr>
          <w:rFonts w:ascii="Arial" w:hAnsi="Arial"/>
          <w:b/>
          <w:bCs/>
          <w:kern w:val="0"/>
          <w:sz w:val="32"/>
          <w:szCs w:val="24"/>
        </w:rPr>
      </w:pPr>
      <w:r>
        <w:rPr>
          <w:rFonts w:hint="eastAsia" w:ascii="宋体" w:hAnsi="宋体" w:cs="宋体"/>
          <w:b/>
          <w:kern w:val="0"/>
          <w:position w:val="-10"/>
          <w:sz w:val="32"/>
          <w:szCs w:val="20"/>
        </w:rPr>
        <w:t>日期：</w:t>
      </w:r>
      <w:r>
        <w:rPr>
          <w:rFonts w:hint="eastAsia" w:ascii="宋体" w:hAnsi="宋体" w:cs="宋体"/>
          <w:b/>
          <w:bCs/>
          <w:kern w:val="0"/>
          <w:position w:val="-10"/>
          <w:sz w:val="32"/>
          <w:szCs w:val="20"/>
        </w:rPr>
        <w:t>2025年12月</w:t>
      </w:r>
    </w:p>
    <w:p w14:paraId="33B714B7">
      <w:pPr>
        <w:pStyle w:val="11"/>
        <w:spacing w:before="100" w:beforeAutospacing="1" w:after="100" w:afterAutospacing="1" w:line="360" w:lineRule="auto"/>
        <w:rPr>
          <w:rFonts w:ascii="仿宋_GB2312" w:eastAsia="仿宋_GB2312"/>
          <w:b/>
          <w:sz w:val="36"/>
          <w:szCs w:val="36"/>
        </w:rPr>
      </w:pPr>
      <w:r>
        <w:br w:type="page"/>
      </w:r>
      <w:bookmarkStart w:id="0" w:name="_Toc120614210"/>
      <w:bookmarkStart w:id="1" w:name="_Toc523127445"/>
      <w:bookmarkStart w:id="2" w:name="_Toc479757206"/>
      <w:bookmarkStart w:id="3" w:name="_Toc513029200"/>
      <w:bookmarkStart w:id="4" w:name="_Toc16938516"/>
      <w:bookmarkStart w:id="5" w:name="_Toc20823272"/>
    </w:p>
    <w:p w14:paraId="11A277F7"/>
    <w:bookmarkEnd w:id="0"/>
    <w:p w14:paraId="20E0FD26">
      <w:pPr>
        <w:ind w:firstLine="2200" w:firstLineChars="500"/>
        <w:rPr>
          <w:rFonts w:ascii="黑体" w:eastAsia="黑体"/>
          <w:bCs/>
          <w:sz w:val="44"/>
        </w:rPr>
      </w:pPr>
      <w:bookmarkStart w:id="6" w:name="_Toc106807610"/>
      <w:bookmarkStart w:id="7" w:name="_Toc120614211"/>
      <w:r>
        <w:rPr>
          <w:rFonts w:hint="eastAsia" w:ascii="黑体" w:eastAsia="黑体"/>
          <w:bCs/>
          <w:sz w:val="44"/>
        </w:rPr>
        <w:t>第一章  单一来源采购邀请</w:t>
      </w:r>
      <w:bookmarkEnd w:id="6"/>
    </w:p>
    <w:p w14:paraId="725C5A0B">
      <w:pPr>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sz w:val="24"/>
          <w:szCs w:val="24"/>
        </w:rPr>
        <w:t>以下维保公司：邀请贵司参与本次单一来源采购谈判活动。</w:t>
      </w:r>
    </w:p>
    <w:p w14:paraId="5BF73D86">
      <w:pPr>
        <w:pStyle w:val="7"/>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采购项目名称及编号</w:t>
      </w:r>
    </w:p>
    <w:p w14:paraId="37001C51">
      <w:pPr>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项目名称：门诊智能排队叫号管理系统</w:t>
      </w:r>
      <w:r>
        <w:rPr>
          <w:rFonts w:hint="eastAsia" w:asciiTheme="minorEastAsia" w:hAnsiTheme="minorEastAsia" w:eastAsiaTheme="minorEastAsia" w:cstheme="minorEastAsia"/>
          <w:bCs/>
          <w:sz w:val="24"/>
          <w:szCs w:val="24"/>
          <w:lang w:val="en-US" w:eastAsia="zh-CN"/>
        </w:rPr>
        <w:t>维保</w:t>
      </w:r>
    </w:p>
    <w:p w14:paraId="1A4B12B7">
      <w:pPr>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项目编号：LSRY-ZB2025-X007</w:t>
      </w:r>
    </w:p>
    <w:p w14:paraId="4D19AE4D">
      <w:pPr>
        <w:pStyle w:val="7"/>
        <w:rPr>
          <w:rFonts w:asciiTheme="minorEastAsia" w:hAnsiTheme="minorEastAsia" w:eastAsiaTheme="minorEastAsia" w:cstheme="minorEastAsia"/>
          <w:b/>
          <w:bCs/>
          <w:color w:val="000000" w:themeColor="text1"/>
          <w:sz w:val="24"/>
          <w:szCs w:val="24"/>
          <w14:textFill>
            <w14:solidFill>
              <w14:schemeClr w14:val="tx1"/>
            </w14:solidFill>
          </w14:textFill>
        </w:rPr>
      </w:pPr>
    </w:p>
    <w:p w14:paraId="6D40A62C">
      <w:pPr>
        <w:pStyle w:val="7"/>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二、采购明细</w:t>
      </w:r>
    </w:p>
    <w:tbl>
      <w:tblPr>
        <w:tblStyle w:val="14"/>
        <w:tblpPr w:leftFromText="180" w:rightFromText="180" w:vertAnchor="text" w:horzAnchor="page" w:tblpX="774" w:tblpY="257"/>
        <w:tblOverlap w:val="never"/>
        <w:tblW w:w="5950" w:type="pct"/>
        <w:tblInd w:w="0" w:type="dxa"/>
        <w:tblLayout w:type="fixed"/>
        <w:tblCellMar>
          <w:top w:w="15" w:type="dxa"/>
          <w:left w:w="15" w:type="dxa"/>
          <w:bottom w:w="15" w:type="dxa"/>
          <w:right w:w="15" w:type="dxa"/>
        </w:tblCellMar>
      </w:tblPr>
      <w:tblGrid>
        <w:gridCol w:w="643"/>
        <w:gridCol w:w="2038"/>
        <w:gridCol w:w="2674"/>
        <w:gridCol w:w="2340"/>
        <w:gridCol w:w="2320"/>
      </w:tblGrid>
      <w:tr w14:paraId="582BBE69">
        <w:tblPrEx>
          <w:tblCellMar>
            <w:top w:w="15" w:type="dxa"/>
            <w:left w:w="15" w:type="dxa"/>
            <w:bottom w:w="15" w:type="dxa"/>
            <w:right w:w="15" w:type="dxa"/>
          </w:tblCellMar>
        </w:tblPrEx>
        <w:trPr>
          <w:trHeight w:val="90" w:hRule="atLeast"/>
        </w:trPr>
        <w:tc>
          <w:tcPr>
            <w:tcW w:w="321" w:type="pct"/>
            <w:tcBorders>
              <w:top w:val="single" w:color="auto" w:sz="6" w:space="0"/>
              <w:left w:val="single" w:color="auto" w:sz="6" w:space="0"/>
              <w:bottom w:val="single" w:color="auto" w:sz="4" w:space="0"/>
              <w:right w:val="single" w:color="auto" w:sz="6" w:space="0"/>
            </w:tcBorders>
            <w:vAlign w:val="center"/>
          </w:tcPr>
          <w:p w14:paraId="6433DCE5">
            <w:pPr>
              <w:widowControl/>
              <w:jc w:val="cente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包号</w:t>
            </w:r>
          </w:p>
        </w:tc>
        <w:tc>
          <w:tcPr>
            <w:tcW w:w="1017"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34AE2139">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名称</w:t>
            </w:r>
          </w:p>
        </w:tc>
        <w:tc>
          <w:tcPr>
            <w:tcW w:w="1335"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173D4DFE">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信息系统公司名称</w:t>
            </w:r>
          </w:p>
        </w:tc>
        <w:tc>
          <w:tcPr>
            <w:tcW w:w="1168"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25E5CB4A">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维保期限</w:t>
            </w:r>
          </w:p>
        </w:tc>
        <w:tc>
          <w:tcPr>
            <w:tcW w:w="1158" w:type="pct"/>
            <w:tcBorders>
              <w:top w:val="single" w:color="auto" w:sz="6" w:space="0"/>
              <w:left w:val="nil"/>
              <w:bottom w:val="single" w:color="auto" w:sz="4" w:space="0"/>
              <w:right w:val="single" w:color="auto" w:sz="6" w:space="0"/>
            </w:tcBorders>
            <w:tcMar>
              <w:top w:w="0" w:type="dxa"/>
              <w:left w:w="95" w:type="dxa"/>
              <w:bottom w:w="0" w:type="dxa"/>
              <w:right w:w="95" w:type="dxa"/>
            </w:tcMar>
            <w:vAlign w:val="center"/>
          </w:tcPr>
          <w:p w14:paraId="7BB48A54">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项目预算（万元/年）</w:t>
            </w:r>
          </w:p>
        </w:tc>
      </w:tr>
      <w:tr w14:paraId="269E2A9F">
        <w:tblPrEx>
          <w:tblCellMar>
            <w:top w:w="15" w:type="dxa"/>
            <w:left w:w="15" w:type="dxa"/>
            <w:bottom w:w="15" w:type="dxa"/>
            <w:right w:w="15" w:type="dxa"/>
          </w:tblCellMar>
        </w:tblPrEx>
        <w:trPr>
          <w:trHeight w:val="90" w:hRule="atLeast"/>
        </w:trPr>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134B2C4">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017"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DBABCE6">
            <w:pPr>
              <w:widowControl/>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sz w:val="24"/>
                <w:szCs w:val="24"/>
              </w:rPr>
              <w:t>门诊智能排队叫号管理系统</w:t>
            </w:r>
            <w:r>
              <w:rPr>
                <w:rFonts w:hint="eastAsia" w:asciiTheme="minorEastAsia" w:hAnsiTheme="minorEastAsia" w:eastAsiaTheme="minorEastAsia" w:cstheme="minorEastAsia"/>
                <w:bCs/>
                <w:sz w:val="24"/>
                <w:szCs w:val="24"/>
                <w:lang w:val="en-US" w:eastAsia="zh-CN"/>
              </w:rPr>
              <w:t>维保</w:t>
            </w:r>
          </w:p>
        </w:tc>
        <w:tc>
          <w:tcPr>
            <w:tcW w:w="1335"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FEDD07E">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北京南师信息技术有限公司</w:t>
            </w:r>
          </w:p>
        </w:tc>
        <w:tc>
          <w:tcPr>
            <w:tcW w:w="1168"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6164653C">
            <w:pPr>
              <w:widowControl/>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3年，合同一年一签</w:t>
            </w:r>
          </w:p>
        </w:tc>
        <w:tc>
          <w:tcPr>
            <w:tcW w:w="1158"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638CAB8D">
            <w:pPr>
              <w:widowControl/>
              <w:spacing w:before="100" w:beforeAutospacing="1" w:after="100" w:afterAutospacing="1"/>
              <w:ind w:firstLine="720" w:firstLineChars="3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r>
      <w:tr w14:paraId="0F58DCE5">
        <w:tblPrEx>
          <w:tblCellMar>
            <w:top w:w="15" w:type="dxa"/>
            <w:left w:w="15" w:type="dxa"/>
            <w:bottom w:w="15" w:type="dxa"/>
            <w:right w:w="15" w:type="dxa"/>
          </w:tblCellMar>
        </w:tblPrEx>
        <w:trPr>
          <w:trHeight w:val="90" w:hRule="atLeast"/>
        </w:trPr>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358FD334">
            <w:pPr>
              <w:widowControl/>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1017"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E79124E">
            <w:pPr>
              <w:widowControl/>
              <w:jc w:val="center"/>
              <w:textAlignment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医院绩效管理系统维保</w:t>
            </w:r>
          </w:p>
        </w:tc>
        <w:tc>
          <w:tcPr>
            <w:tcW w:w="1335"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7AD60502">
            <w:pPr>
              <w:widowControl/>
              <w:jc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上海融达信息科技有限公司</w:t>
            </w:r>
          </w:p>
        </w:tc>
        <w:tc>
          <w:tcPr>
            <w:tcW w:w="1168"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4F90E2C2">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3年，合同一年一签</w:t>
            </w:r>
          </w:p>
        </w:tc>
        <w:tc>
          <w:tcPr>
            <w:tcW w:w="1158" w:type="pct"/>
            <w:tcBorders>
              <w:top w:val="single" w:color="auto" w:sz="4" w:space="0"/>
              <w:left w:val="single" w:color="auto" w:sz="4" w:space="0"/>
              <w:bottom w:val="single" w:color="auto" w:sz="4" w:space="0"/>
              <w:right w:val="single" w:color="auto" w:sz="4" w:space="0"/>
            </w:tcBorders>
            <w:shd w:val="clear" w:color="auto" w:fill="FFFFFF"/>
            <w:tcMar>
              <w:top w:w="0" w:type="dxa"/>
              <w:left w:w="95" w:type="dxa"/>
              <w:bottom w:w="0" w:type="dxa"/>
              <w:right w:w="95" w:type="dxa"/>
            </w:tcMar>
            <w:vAlign w:val="center"/>
          </w:tcPr>
          <w:p w14:paraId="23C6A113">
            <w:pPr>
              <w:widowControl/>
              <w:spacing w:before="100" w:beforeAutospacing="1" w:after="100" w:afterAutospacing="1"/>
              <w:ind w:firstLine="720" w:firstLineChars="30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3.8</w:t>
            </w:r>
          </w:p>
        </w:tc>
      </w:tr>
    </w:tbl>
    <w:p w14:paraId="065DE3D2">
      <w:pPr>
        <w:snapToGrid w:val="0"/>
        <w:rPr>
          <w:rFonts w:asciiTheme="minorEastAsia" w:hAnsiTheme="minorEastAsia" w:eastAsiaTheme="minorEastAsia" w:cstheme="minorEastAsia"/>
          <w:b/>
          <w:bCs/>
          <w:sz w:val="24"/>
          <w:szCs w:val="24"/>
        </w:rPr>
      </w:pPr>
    </w:p>
    <w:p w14:paraId="55EE3D46">
      <w:pPr>
        <w:snapToGrid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三、合格单一来源谈判供应商资格要求（纸质版报名材料要制作在响应文件内）</w:t>
      </w:r>
    </w:p>
    <w:p w14:paraId="2FB17ABA">
      <w:pPr>
        <w:snapToGrid w:val="0"/>
        <w:rPr>
          <w:rFonts w:asciiTheme="minorEastAsia" w:hAnsiTheme="minorEastAsia" w:eastAsiaTheme="minorEastAsia" w:cstheme="minorEastAsia"/>
          <w:b/>
          <w:bCs/>
          <w:sz w:val="24"/>
          <w:szCs w:val="24"/>
        </w:rPr>
      </w:pPr>
      <w:bookmarkStart w:id="8" w:name="_Hlk142317588"/>
      <w:r>
        <w:rPr>
          <w:rFonts w:hint="eastAsia" w:asciiTheme="minorEastAsia" w:hAnsiTheme="minorEastAsia" w:eastAsiaTheme="minorEastAsia" w:cstheme="minorEastAsia"/>
          <w:b/>
          <w:bCs/>
          <w:sz w:val="24"/>
          <w:szCs w:val="24"/>
        </w:rPr>
        <w:t>（一）资格要求（请根据此项内容填写《资质响应表》，并逐条标注响应页码）</w:t>
      </w:r>
    </w:p>
    <w:p w14:paraId="46BDF24F">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1、满足《中华人民共和国政府采购法》第二十二条规定，并提供下列材料：</w:t>
      </w:r>
    </w:p>
    <w:p w14:paraId="00059825">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1.1具有独立承担民事责任的能力（提供法人或者其他组织的营业执照等证明文件，自然人的身份证明）；</w:t>
      </w:r>
    </w:p>
    <w:p w14:paraId="71AA75F1">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1.2具有良好的商业信誉和健全的财务会计制度（提供上一年度的财务状况报告，成立不满一年不需提供）；或提供南京市政府采购供应商信用记录表暨信用承诺书原件；</w:t>
      </w:r>
    </w:p>
    <w:p w14:paraId="337B88BA">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1.3有依法缴纳税收和社会保障资金的良好记录（提供供应商参加本次政府采购活动</w:t>
      </w:r>
      <w:bookmarkStart w:id="9" w:name="_Hlk129265616"/>
      <w:r>
        <w:rPr>
          <w:rFonts w:hint="eastAsia" w:asciiTheme="minorEastAsia" w:hAnsiTheme="minorEastAsia" w:eastAsiaTheme="minorEastAsia" w:cstheme="minorEastAsia"/>
          <w:sz w:val="24"/>
          <w:szCs w:val="24"/>
        </w:rPr>
        <w:t>前近一年至少一个月</w:t>
      </w:r>
      <w:bookmarkEnd w:id="9"/>
      <w:r>
        <w:rPr>
          <w:rFonts w:hint="eastAsia" w:asciiTheme="minorEastAsia" w:hAnsiTheme="minorEastAsia" w:eastAsiaTheme="minorEastAsia" w:cstheme="minorEastAsia"/>
          <w:sz w:val="24"/>
          <w:szCs w:val="24"/>
        </w:rPr>
        <w:t>缴纳税收及缴纳社会保障资金的证明材料。供应商依法享受缓缴、免缴税收、社会保障资金的提供证明材料）；或提供南京市政府采购供应商信用记录表暨信用承诺书原件；</w:t>
      </w:r>
    </w:p>
    <w:p w14:paraId="253917AC">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1.4具有履行合同所必需的设备和专业技术能力（提供书面声明）；</w:t>
      </w:r>
    </w:p>
    <w:p w14:paraId="1A4DDBA2">
      <w:pPr>
        <w:snapToGrid w:val="0"/>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1.5参加政府采购活动前3年内在经营活动中没有重大违法记录（</w:t>
      </w:r>
      <w:r>
        <w:rPr>
          <w:rFonts w:hint="eastAsia" w:asciiTheme="minorEastAsia" w:hAnsiTheme="minorEastAsia" w:eastAsiaTheme="minorEastAsia" w:cstheme="minorEastAsia"/>
          <w:kern w:val="0"/>
          <w:sz w:val="24"/>
          <w:szCs w:val="24"/>
        </w:rPr>
        <w:t>提供书面声明）。</w:t>
      </w:r>
    </w:p>
    <w:p w14:paraId="37EF8788">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bookmarkEnd w:id="8"/>
    <w:p w14:paraId="7B2F304A">
      <w:pPr>
        <w:spacing w:line="400" w:lineRule="exact"/>
        <w:rPr>
          <w:rFonts w:cs="仿宋"/>
        </w:rPr>
      </w:pPr>
    </w:p>
    <w:p w14:paraId="5C5C7673">
      <w:pPr>
        <w:snapToGrid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四、报名事宜</w:t>
      </w:r>
    </w:p>
    <w:p w14:paraId="6239057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请在</w:t>
      </w:r>
      <w:r>
        <w:rPr>
          <w:rFonts w:hint="eastAsia" w:asciiTheme="minorEastAsia" w:hAnsiTheme="minorEastAsia" w:eastAsiaTheme="minorEastAsia" w:cstheme="minorEastAsia"/>
          <w:b/>
          <w:bCs/>
          <w:sz w:val="24"/>
          <w:szCs w:val="24"/>
          <w:u w:val="single"/>
        </w:rPr>
        <w:t>2025年12月</w:t>
      </w:r>
      <w:r>
        <w:rPr>
          <w:rFonts w:hint="eastAsia" w:asciiTheme="minorEastAsia" w:hAnsiTheme="minorEastAsia" w:eastAsiaTheme="minorEastAsia" w:cstheme="minorEastAsia"/>
          <w:b/>
          <w:bCs/>
          <w:sz w:val="24"/>
          <w:szCs w:val="24"/>
          <w:u w:val="single"/>
          <w:lang w:val="en-US" w:eastAsia="zh-CN"/>
        </w:rPr>
        <w:t>25</w:t>
      </w:r>
      <w:r>
        <w:rPr>
          <w:rFonts w:hint="eastAsia" w:asciiTheme="minorEastAsia" w:hAnsiTheme="minorEastAsia" w:eastAsiaTheme="minorEastAsia" w:cstheme="minorEastAsia"/>
          <w:b/>
          <w:bCs/>
          <w:sz w:val="24"/>
          <w:szCs w:val="24"/>
          <w:u w:val="single"/>
        </w:rPr>
        <w:t>日-2025年12月</w:t>
      </w:r>
      <w:r>
        <w:rPr>
          <w:rFonts w:hint="eastAsia" w:asciiTheme="minorEastAsia" w:hAnsiTheme="minorEastAsia" w:eastAsiaTheme="minorEastAsia" w:cstheme="minorEastAsia"/>
          <w:b/>
          <w:bCs/>
          <w:sz w:val="24"/>
          <w:szCs w:val="24"/>
          <w:u w:val="single"/>
          <w:lang w:val="en-US" w:eastAsia="zh-CN"/>
        </w:rPr>
        <w:t>29</w:t>
      </w:r>
      <w:r>
        <w:rPr>
          <w:rFonts w:hint="eastAsia" w:asciiTheme="minorEastAsia" w:hAnsiTheme="minorEastAsia" w:eastAsiaTheme="minorEastAsia" w:cstheme="minorEastAsia"/>
          <w:b/>
          <w:bCs/>
          <w:sz w:val="24"/>
          <w:szCs w:val="24"/>
          <w:u w:val="single"/>
        </w:rPr>
        <w:t>日17:30</w:t>
      </w:r>
      <w:r>
        <w:rPr>
          <w:rFonts w:hint="eastAsia" w:asciiTheme="minorEastAsia" w:hAnsiTheme="minorEastAsia" w:eastAsiaTheme="minorEastAsia" w:cstheme="minorEastAsia"/>
          <w:sz w:val="24"/>
          <w:szCs w:val="24"/>
        </w:rPr>
        <w:t>前，将符合采购文件要求的资格证明文件以Word或PDF电子文档形式发送至168673332@qq.com完成报名，邮件名称及报名文件均命名为“项目名称+服务商名称+联系电话”。</w:t>
      </w:r>
    </w:p>
    <w:p w14:paraId="4092E74A">
      <w:pPr>
        <w:rPr>
          <w:rFonts w:asciiTheme="minorEastAsia" w:hAnsiTheme="minorEastAsia" w:eastAsiaTheme="minorEastAsia" w:cstheme="minorEastAsia"/>
          <w:sz w:val="24"/>
          <w:szCs w:val="24"/>
        </w:rPr>
      </w:pPr>
    </w:p>
    <w:p w14:paraId="5EBFEBE8">
      <w:pPr>
        <w:snapToGrid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五、响应文件接收截止时间、开（评）标时间及地点</w:t>
      </w:r>
    </w:p>
    <w:p w14:paraId="03C9FDF3">
      <w:pPr>
        <w:ind w:firstLine="480" w:firstLineChars="200"/>
        <w:rPr>
          <w:rFonts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响应文件接收截止时间及开标时间：</w:t>
      </w:r>
      <w:r>
        <w:rPr>
          <w:rFonts w:hint="eastAsia" w:asciiTheme="minorEastAsia" w:hAnsiTheme="minorEastAsia" w:eastAsiaTheme="minorEastAsia" w:cstheme="minorEastAsia"/>
          <w:b/>
          <w:bCs/>
          <w:sz w:val="24"/>
          <w:szCs w:val="24"/>
          <w:u w:val="single"/>
        </w:rPr>
        <w:t>2025年12月</w:t>
      </w:r>
      <w:r>
        <w:rPr>
          <w:rFonts w:hint="eastAsia" w:asciiTheme="minorEastAsia" w:hAnsiTheme="minorEastAsia" w:eastAsiaTheme="minorEastAsia" w:cstheme="minorEastAsia"/>
          <w:b/>
          <w:bCs/>
          <w:sz w:val="24"/>
          <w:szCs w:val="24"/>
          <w:u w:val="single"/>
          <w:lang w:val="en-US" w:eastAsia="zh-CN"/>
        </w:rPr>
        <w:t>30</w:t>
      </w:r>
      <w:r>
        <w:rPr>
          <w:rFonts w:hint="eastAsia" w:asciiTheme="minorEastAsia" w:hAnsiTheme="minorEastAsia" w:eastAsiaTheme="minorEastAsia" w:cstheme="minorEastAsia"/>
          <w:b/>
          <w:bCs/>
          <w:sz w:val="24"/>
          <w:szCs w:val="24"/>
          <w:u w:val="single"/>
        </w:rPr>
        <w:t>日</w:t>
      </w:r>
      <w:r>
        <w:rPr>
          <w:rFonts w:hint="eastAsia" w:asciiTheme="minorEastAsia" w:hAnsiTheme="minorEastAsia" w:eastAsiaTheme="minorEastAsia" w:cstheme="minorEastAsia"/>
          <w:b/>
          <w:bCs/>
          <w:sz w:val="24"/>
          <w:szCs w:val="24"/>
          <w:u w:val="single"/>
          <w:lang w:val="en-US" w:eastAsia="zh-CN"/>
        </w:rPr>
        <w:t>8</w:t>
      </w:r>
      <w:r>
        <w:rPr>
          <w:rFonts w:hint="eastAsia" w:asciiTheme="minorEastAsia" w:hAnsiTheme="minorEastAsia" w:eastAsiaTheme="minorEastAsia" w:cstheme="minorEastAsia"/>
          <w:b/>
          <w:bCs/>
          <w:sz w:val="24"/>
          <w:szCs w:val="24"/>
          <w:u w:val="single"/>
        </w:rPr>
        <w:t>点30分</w:t>
      </w:r>
    </w:p>
    <w:p w14:paraId="771FFE82">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开标地点：溧水区人民医院行政楼5楼会议室。</w:t>
      </w:r>
    </w:p>
    <w:p w14:paraId="2173BA03">
      <w:pPr>
        <w:tabs>
          <w:tab w:val="left" w:pos="900"/>
        </w:tabs>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六、本次单一来源谈判采购联系事项</w:t>
      </w:r>
    </w:p>
    <w:p w14:paraId="6FB3D76F">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1.项目联系方式</w:t>
      </w:r>
    </w:p>
    <w:p w14:paraId="615CAF10">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胡昌盛</w:t>
      </w:r>
      <w:r>
        <w:rPr>
          <w:rFonts w:hint="eastAsia" w:asciiTheme="minorEastAsia" w:hAnsiTheme="minorEastAsia" w:eastAsiaTheme="minorEastAsia" w:cstheme="minorEastAsia"/>
          <w:sz w:val="24"/>
          <w:szCs w:val="24"/>
        </w:rPr>
        <w:t>（信息科）</w:t>
      </w:r>
    </w:p>
    <w:p w14:paraId="3BB4EED3">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电话：025-56232019</w:t>
      </w:r>
    </w:p>
    <w:p w14:paraId="273AF1B7">
      <w:pPr>
        <w:ind w:firstLine="600" w:firstLineChars="250"/>
        <w:jc w:val="left"/>
        <w:rPr>
          <w:rFonts w:asciiTheme="minorEastAsia" w:hAnsiTheme="minorEastAsia" w:eastAsiaTheme="minorEastAsia" w:cstheme="minorEastAsia"/>
          <w:sz w:val="24"/>
          <w:szCs w:val="24"/>
        </w:rPr>
      </w:pPr>
    </w:p>
    <w:p w14:paraId="1B57C3E3">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2、招标联系事宜</w:t>
      </w:r>
    </w:p>
    <w:p w14:paraId="11029D1B">
      <w:pPr>
        <w:ind w:firstLine="600" w:firstLineChars="250"/>
        <w:jc w:val="left"/>
        <w:rPr>
          <w:rFonts w:asciiTheme="minorEastAsia" w:hAnsiTheme="minorEastAsia" w:eastAsiaTheme="minorEastAsia" w:cstheme="minorEastAsia"/>
          <w:sz w:val="24"/>
          <w:szCs w:val="24"/>
        </w:rPr>
      </w:pPr>
      <w:bookmarkStart w:id="10" w:name="_Toc28359009"/>
      <w:bookmarkStart w:id="11" w:name="_Toc28359086"/>
      <w:r>
        <w:rPr>
          <w:rFonts w:hint="eastAsia" w:asciiTheme="minorEastAsia" w:hAnsiTheme="minorEastAsia" w:eastAsiaTheme="minorEastAsia" w:cstheme="minorEastAsia"/>
          <w:sz w:val="24"/>
          <w:szCs w:val="24"/>
        </w:rPr>
        <w:t>联系人：秦老师（采购中心）</w:t>
      </w:r>
    </w:p>
    <w:p w14:paraId="2C51CCC8">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电话：025-56232023</w:t>
      </w:r>
    </w:p>
    <w:p w14:paraId="5929E26E">
      <w:pPr>
        <w:ind w:firstLine="600" w:firstLineChars="25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地址：南京市</w:t>
      </w:r>
      <w:bookmarkEnd w:id="10"/>
      <w:bookmarkEnd w:id="11"/>
      <w:r>
        <w:rPr>
          <w:rFonts w:hint="eastAsia" w:asciiTheme="minorEastAsia" w:hAnsiTheme="minorEastAsia" w:eastAsiaTheme="minorEastAsia" w:cstheme="minorEastAsia"/>
          <w:sz w:val="24"/>
          <w:szCs w:val="24"/>
        </w:rPr>
        <w:t>溧水区永阳镇崇文路86号</w:t>
      </w:r>
    </w:p>
    <w:p w14:paraId="36E084A2">
      <w:pPr>
        <w:ind w:firstLine="600" w:firstLineChars="250"/>
        <w:jc w:val="left"/>
        <w:rPr>
          <w:rFonts w:asciiTheme="minorEastAsia" w:hAnsiTheme="minorEastAsia" w:eastAsiaTheme="minorEastAsia" w:cstheme="minorEastAsia"/>
          <w:sz w:val="24"/>
          <w:szCs w:val="24"/>
        </w:rPr>
      </w:pPr>
    </w:p>
    <w:p w14:paraId="5E4CF931">
      <w:pPr>
        <w:pStyle w:val="3"/>
        <w:jc w:val="both"/>
        <w:rPr>
          <w:rFonts w:ascii="黑体" w:eastAsia="黑体"/>
          <w:bCs/>
          <w:sz w:val="24"/>
          <w:szCs w:val="24"/>
        </w:rPr>
      </w:pPr>
      <w:bookmarkStart w:id="12" w:name="_Hlt26670330"/>
      <w:bookmarkEnd w:id="12"/>
      <w:bookmarkStart w:id="13" w:name="_Hlt26954824"/>
      <w:bookmarkEnd w:id="13"/>
      <w:bookmarkStart w:id="14" w:name="_Hlt26668836"/>
      <w:bookmarkEnd w:id="14"/>
      <w:bookmarkStart w:id="15" w:name="_Hlt26954907"/>
      <w:bookmarkEnd w:id="15"/>
      <w:bookmarkStart w:id="16" w:name="_Hlt26954810"/>
      <w:bookmarkEnd w:id="16"/>
      <w:bookmarkStart w:id="17" w:name="_Toc106807611"/>
    </w:p>
    <w:p w14:paraId="4A00AB6F">
      <w:pPr>
        <w:ind w:firstLine="2640" w:firstLineChars="600"/>
        <w:rPr>
          <w:rFonts w:ascii="黑体" w:eastAsia="黑体"/>
          <w:bCs/>
          <w:sz w:val="44"/>
        </w:rPr>
      </w:pPr>
      <w:r>
        <w:rPr>
          <w:rFonts w:hint="eastAsia" w:ascii="黑体" w:eastAsia="黑体"/>
          <w:bCs/>
          <w:sz w:val="44"/>
        </w:rPr>
        <w:t xml:space="preserve">第二章  </w:t>
      </w:r>
      <w:bookmarkEnd w:id="1"/>
      <w:bookmarkEnd w:id="2"/>
      <w:bookmarkEnd w:id="3"/>
      <w:bookmarkEnd w:id="4"/>
      <w:bookmarkEnd w:id="5"/>
      <w:bookmarkEnd w:id="7"/>
      <w:bookmarkStart w:id="18" w:name="_Toc120614213"/>
      <w:bookmarkStart w:id="19" w:name="_Toc513029202"/>
      <w:bookmarkStart w:id="20" w:name="_Toc16938518"/>
      <w:bookmarkStart w:id="21" w:name="_Toc20823274"/>
      <w:r>
        <w:rPr>
          <w:rFonts w:hint="eastAsia" w:ascii="黑体" w:eastAsia="黑体"/>
          <w:bCs/>
          <w:sz w:val="44"/>
        </w:rPr>
        <w:t>供应商须知</w:t>
      </w:r>
      <w:bookmarkEnd w:id="17"/>
      <w:bookmarkEnd w:id="18"/>
      <w:bookmarkEnd w:id="19"/>
      <w:bookmarkEnd w:id="20"/>
      <w:bookmarkEnd w:id="21"/>
    </w:p>
    <w:p w14:paraId="16BDAAFA">
      <w:pPr>
        <w:rPr>
          <w:rFonts w:asciiTheme="minorEastAsia" w:hAnsiTheme="minorEastAsia" w:eastAsiaTheme="minorEastAsia" w:cstheme="minorEastAsia"/>
          <w:b/>
          <w:bCs/>
          <w:sz w:val="24"/>
          <w:szCs w:val="24"/>
        </w:rPr>
      </w:pPr>
      <w:bookmarkStart w:id="22" w:name="_Toc513029203"/>
      <w:bookmarkStart w:id="23" w:name="_Toc20823275"/>
      <w:bookmarkStart w:id="24" w:name="_Toc16938519"/>
      <w:bookmarkStart w:id="25" w:name="_Toc120614214"/>
      <w:r>
        <w:rPr>
          <w:rFonts w:hint="eastAsia" w:asciiTheme="minorEastAsia" w:hAnsiTheme="minorEastAsia" w:eastAsiaTheme="minorEastAsia" w:cstheme="minorEastAsia"/>
          <w:b/>
          <w:bCs/>
          <w:sz w:val="24"/>
          <w:szCs w:val="24"/>
        </w:rPr>
        <w:t>一、总则</w:t>
      </w:r>
      <w:bookmarkEnd w:id="22"/>
      <w:bookmarkEnd w:id="23"/>
      <w:bookmarkEnd w:id="24"/>
      <w:bookmarkEnd w:id="25"/>
    </w:p>
    <w:p w14:paraId="0554F0A5">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26" w:name="_Hlt16619475"/>
      <w:bookmarkEnd w:id="26"/>
      <w:bookmarkStart w:id="27" w:name="_Toc458694821"/>
      <w:bookmarkStart w:id="28" w:name="_Toc513029204"/>
      <w:bookmarkStart w:id="29" w:name="_Toc16938520"/>
      <w:bookmarkStart w:id="30" w:name="_Toc20823276"/>
      <w:r>
        <w:rPr>
          <w:rFonts w:hint="eastAsia" w:asciiTheme="minorEastAsia" w:hAnsiTheme="minorEastAsia" w:eastAsiaTheme="minorEastAsia" w:cstheme="minorEastAsia"/>
          <w:b w:val="0"/>
          <w:bCs w:val="0"/>
          <w:sz w:val="24"/>
          <w:szCs w:val="24"/>
        </w:rPr>
        <w:t>1</w:t>
      </w:r>
      <w:bookmarkEnd w:id="27"/>
      <w:r>
        <w:rPr>
          <w:rFonts w:hint="eastAsia" w:asciiTheme="minorEastAsia" w:hAnsiTheme="minorEastAsia" w:eastAsiaTheme="minorEastAsia" w:cstheme="minorEastAsia"/>
          <w:b w:val="0"/>
          <w:bCs w:val="0"/>
          <w:sz w:val="24"/>
          <w:szCs w:val="24"/>
        </w:rPr>
        <w:t>、采购方式</w:t>
      </w:r>
      <w:bookmarkEnd w:id="28"/>
      <w:bookmarkEnd w:id="29"/>
      <w:bookmarkEnd w:id="30"/>
    </w:p>
    <w:p w14:paraId="26A0A9C8">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本次采购采取单一来源采购方式。</w:t>
      </w:r>
    </w:p>
    <w:p w14:paraId="7C9E2E33">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31" w:name="_Toc513029205"/>
      <w:bookmarkStart w:id="32" w:name="_Toc20823277"/>
      <w:bookmarkStart w:id="33" w:name="_Toc16938521"/>
      <w:r>
        <w:rPr>
          <w:rFonts w:hint="eastAsia" w:asciiTheme="minorEastAsia" w:hAnsiTheme="minorEastAsia" w:eastAsiaTheme="minorEastAsia" w:cstheme="minorEastAsia"/>
          <w:b w:val="0"/>
          <w:bCs w:val="0"/>
          <w:sz w:val="24"/>
          <w:szCs w:val="24"/>
        </w:rPr>
        <w:t>2、合格的</w:t>
      </w:r>
      <w:bookmarkEnd w:id="31"/>
      <w:bookmarkEnd w:id="32"/>
      <w:bookmarkEnd w:id="33"/>
      <w:r>
        <w:rPr>
          <w:rFonts w:hint="eastAsia" w:asciiTheme="minorEastAsia" w:hAnsiTheme="minorEastAsia" w:eastAsiaTheme="minorEastAsia" w:cstheme="minorEastAsia"/>
          <w:b w:val="0"/>
          <w:bCs w:val="0"/>
          <w:sz w:val="24"/>
          <w:szCs w:val="24"/>
        </w:rPr>
        <w:t>供应商</w:t>
      </w:r>
    </w:p>
    <w:p w14:paraId="5B5F64D8">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1 满足谈判采购文件中合格单一来源谈判供应商资格要求的规定。</w:t>
      </w:r>
    </w:p>
    <w:p w14:paraId="75AC984B">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2 满足本谈判采购文件实质性条款的规定。</w:t>
      </w:r>
    </w:p>
    <w:p w14:paraId="795B6FAD">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34" w:name="_Toc16938522"/>
      <w:bookmarkStart w:id="35" w:name="_Toc513029206"/>
      <w:bookmarkStart w:id="36" w:name="_Toc20823278"/>
      <w:r>
        <w:rPr>
          <w:rFonts w:hint="eastAsia" w:asciiTheme="minorEastAsia" w:hAnsiTheme="minorEastAsia" w:eastAsiaTheme="minorEastAsia" w:cstheme="minorEastAsia"/>
          <w:b w:val="0"/>
          <w:bCs w:val="0"/>
          <w:sz w:val="24"/>
          <w:szCs w:val="24"/>
        </w:rPr>
        <w:t>3、适用法律</w:t>
      </w:r>
      <w:bookmarkEnd w:id="34"/>
      <w:bookmarkEnd w:id="35"/>
      <w:bookmarkEnd w:id="36"/>
    </w:p>
    <w:p w14:paraId="43D8388F">
      <w:pPr>
        <w:ind w:firstLine="420" w:firstLineChars="1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本次采购及由此产生的合同受中华人民共和国</w:t>
      </w:r>
      <w:r>
        <w:rPr>
          <w:rFonts w:hint="eastAsia" w:asciiTheme="minorEastAsia" w:hAnsiTheme="minorEastAsia" w:eastAsiaTheme="minorEastAsia" w:cstheme="minorEastAsia"/>
          <w:bCs/>
          <w:sz w:val="24"/>
          <w:szCs w:val="24"/>
        </w:rPr>
        <w:t>政府采购</w:t>
      </w:r>
      <w:r>
        <w:rPr>
          <w:rFonts w:hint="eastAsia" w:asciiTheme="minorEastAsia" w:hAnsiTheme="minorEastAsia" w:eastAsiaTheme="minorEastAsia" w:cstheme="minorEastAsia"/>
          <w:sz w:val="24"/>
          <w:szCs w:val="24"/>
        </w:rPr>
        <w:t>有关的法律法规及规章的制约和保护。</w:t>
      </w:r>
    </w:p>
    <w:p w14:paraId="58FE9167">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37" w:name="_Toc462564067"/>
      <w:bookmarkStart w:id="38" w:name="_Toc513029207"/>
      <w:bookmarkStart w:id="39" w:name="_Toc20823279"/>
      <w:bookmarkStart w:id="40" w:name="_Toc16938523"/>
      <w:r>
        <w:rPr>
          <w:rFonts w:hint="eastAsia" w:asciiTheme="minorEastAsia" w:hAnsiTheme="minorEastAsia" w:eastAsiaTheme="minorEastAsia" w:cstheme="minorEastAsia"/>
          <w:b w:val="0"/>
          <w:bCs w:val="0"/>
          <w:sz w:val="24"/>
          <w:szCs w:val="24"/>
        </w:rPr>
        <w:t>4、相关费用</w:t>
      </w:r>
      <w:bookmarkEnd w:id="37"/>
      <w:bookmarkEnd w:id="38"/>
      <w:bookmarkEnd w:id="39"/>
      <w:bookmarkEnd w:id="40"/>
    </w:p>
    <w:p w14:paraId="391CF2E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4.1</w:t>
      </w:r>
      <w:r>
        <w:rPr>
          <w:rFonts w:hint="eastAsia" w:asciiTheme="minorEastAsia" w:hAnsiTheme="minorEastAsia" w:eastAsiaTheme="minorEastAsia" w:cstheme="minorEastAsia"/>
          <w:sz w:val="24"/>
          <w:szCs w:val="24"/>
        </w:rPr>
        <w:t xml:space="preserve"> 参加单一来源谈判供应商（以下简称“供应商”）应自行承担所有与参加单一来源谈判采购有关的费用，无论单一来源谈判采购过程中的做法和结果如何，南京市溧水区人民医院在任何情况下均无义务和责任承担这些费用。</w:t>
      </w:r>
    </w:p>
    <w:p w14:paraId="269EB978">
      <w:pPr>
        <w:pStyle w:val="2"/>
        <w:spacing w:before="0" w:after="0" w:line="240" w:lineRule="auto"/>
        <w:ind w:firstLine="361" w:firstLineChars="15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 w:val="0"/>
          <w:bCs w:val="0"/>
          <w:sz w:val="24"/>
          <w:szCs w:val="24"/>
        </w:rPr>
        <w:t>谈判采购文件的约束力</w:t>
      </w:r>
    </w:p>
    <w:p w14:paraId="323E039E">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5.1</w:t>
      </w:r>
      <w:r>
        <w:rPr>
          <w:rFonts w:hint="eastAsia" w:asciiTheme="minorEastAsia" w:hAnsiTheme="minorEastAsia" w:eastAsiaTheme="minorEastAsia" w:cstheme="minorEastAsia"/>
          <w:sz w:val="24"/>
          <w:szCs w:val="24"/>
        </w:rPr>
        <w:t xml:space="preserve"> 供应商一旦接收了本谈判采购文件并决定参加单一来源谈判，即被认为接受了本谈判采购文件的规定和约束，并且视为自接收本谈判采购文件之日起已经知道或应当知道自身权益是否受到了损害。</w:t>
      </w:r>
    </w:p>
    <w:p w14:paraId="101D81C5">
      <w:pPr>
        <w:rPr>
          <w:rFonts w:asciiTheme="minorEastAsia" w:hAnsiTheme="minorEastAsia" w:eastAsiaTheme="minorEastAsia" w:cstheme="minorEastAsia"/>
          <w:b/>
          <w:bCs/>
          <w:sz w:val="24"/>
          <w:szCs w:val="24"/>
        </w:rPr>
      </w:pPr>
      <w:bookmarkStart w:id="41" w:name="_Toc513029209"/>
      <w:bookmarkStart w:id="42" w:name="_Toc16938525"/>
      <w:bookmarkStart w:id="43" w:name="_Toc20823281"/>
      <w:bookmarkStart w:id="44" w:name="_Toc120614215"/>
      <w:r>
        <w:rPr>
          <w:rFonts w:hint="eastAsia" w:asciiTheme="minorEastAsia" w:hAnsiTheme="minorEastAsia" w:eastAsiaTheme="minorEastAsia" w:cstheme="minorEastAsia"/>
          <w:b/>
          <w:bCs/>
          <w:sz w:val="24"/>
          <w:szCs w:val="24"/>
        </w:rPr>
        <w:t>二、谈判采购文件</w:t>
      </w:r>
      <w:bookmarkEnd w:id="41"/>
      <w:bookmarkEnd w:id="42"/>
      <w:bookmarkEnd w:id="43"/>
      <w:bookmarkEnd w:id="44"/>
    </w:p>
    <w:p w14:paraId="57080CFA">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45" w:name="_Toc513029210"/>
      <w:bookmarkStart w:id="46" w:name="_Toc16938526"/>
      <w:bookmarkStart w:id="47" w:name="_Toc20823282"/>
      <w:r>
        <w:rPr>
          <w:rFonts w:hint="eastAsia" w:asciiTheme="minorEastAsia" w:hAnsiTheme="minorEastAsia" w:eastAsiaTheme="minorEastAsia" w:cstheme="minorEastAsia"/>
          <w:b w:val="0"/>
          <w:bCs w:val="0"/>
          <w:sz w:val="24"/>
          <w:szCs w:val="24"/>
        </w:rPr>
        <w:t>6、谈判采购文件构成</w:t>
      </w:r>
      <w:bookmarkEnd w:id="45"/>
      <w:bookmarkEnd w:id="46"/>
      <w:bookmarkEnd w:id="47"/>
    </w:p>
    <w:p w14:paraId="6AE6A55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6.1</w:t>
      </w:r>
      <w:r>
        <w:rPr>
          <w:rFonts w:hint="eastAsia" w:asciiTheme="minorEastAsia" w:hAnsiTheme="minorEastAsia" w:eastAsiaTheme="minorEastAsia" w:cstheme="minorEastAsia"/>
          <w:sz w:val="24"/>
          <w:szCs w:val="24"/>
        </w:rPr>
        <w:t xml:space="preserve"> 谈判采购文件有以下部分组成：</w:t>
      </w:r>
    </w:p>
    <w:p w14:paraId="2D60EDBE">
      <w:pPr>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（1）单一来源采购邀请</w:t>
      </w:r>
    </w:p>
    <w:p w14:paraId="7A8D5947">
      <w:pPr>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（2）参加单一来源谈判供应商须知</w:t>
      </w:r>
    </w:p>
    <w:p w14:paraId="1BA6EF08">
      <w:pPr>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（3）合同条款及格式</w:t>
      </w:r>
    </w:p>
    <w:p w14:paraId="6E2CD1A8">
      <w:pPr>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（4）项目需求</w:t>
      </w:r>
    </w:p>
    <w:p w14:paraId="48740C5F">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（5）单一来源谈判响应文件格式</w:t>
      </w:r>
    </w:p>
    <w:p w14:paraId="270B798C">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请供应商仔细检查谈判采购文件是否齐全，如有缺漏请立即与采购人联系解决。</w:t>
      </w:r>
    </w:p>
    <w:p w14:paraId="7E42ABF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6.2</w:t>
      </w:r>
      <w:r>
        <w:rPr>
          <w:rFonts w:hint="eastAsia" w:asciiTheme="minorEastAsia" w:hAnsiTheme="minorEastAsia" w:eastAsiaTheme="minorEastAsia" w:cstheme="minorEastAsia"/>
          <w:sz w:val="24"/>
          <w:szCs w:val="24"/>
        </w:rPr>
        <w:t xml:space="preserve"> 供应商应认真阅读谈判采购文件中所有的事项、格式、条款和规范等要求。按谈判采购文件要求和规定编制单一来源谈判响应文件，并保证所提供的全部资料的真实性，以使其单一来源谈判响应文件对谈判采购文件作出实质性响应，否则其风险由供应商自行承担。</w:t>
      </w:r>
    </w:p>
    <w:p w14:paraId="5ECB7D0A">
      <w:pPr>
        <w:pStyle w:val="2"/>
        <w:spacing w:before="0" w:after="0" w:line="240" w:lineRule="auto"/>
        <w:ind w:firstLine="480" w:firstLineChars="200"/>
        <w:rPr>
          <w:rFonts w:asciiTheme="minorEastAsia" w:hAnsiTheme="minorEastAsia" w:eastAsiaTheme="minorEastAsia" w:cstheme="minorEastAsia"/>
          <w:b w:val="0"/>
          <w:bCs w:val="0"/>
          <w:sz w:val="24"/>
          <w:szCs w:val="24"/>
        </w:rPr>
      </w:pPr>
      <w:bookmarkStart w:id="48" w:name="_Toc462564070"/>
      <w:bookmarkStart w:id="49" w:name="_Toc20823283"/>
      <w:bookmarkStart w:id="50" w:name="_Toc16938527"/>
      <w:bookmarkStart w:id="51" w:name="_Toc513029211"/>
      <w:r>
        <w:rPr>
          <w:rFonts w:hint="eastAsia" w:asciiTheme="minorEastAsia" w:hAnsiTheme="minorEastAsia" w:eastAsiaTheme="minorEastAsia" w:cstheme="minorEastAsia"/>
          <w:b w:val="0"/>
          <w:bCs w:val="0"/>
          <w:sz w:val="24"/>
          <w:szCs w:val="24"/>
        </w:rPr>
        <w:t>7、谈判采购文件的澄清</w:t>
      </w:r>
      <w:bookmarkEnd w:id="48"/>
      <w:bookmarkEnd w:id="49"/>
      <w:bookmarkEnd w:id="50"/>
      <w:bookmarkEnd w:id="51"/>
    </w:p>
    <w:p w14:paraId="3F88DAE6">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7.1</w:t>
      </w:r>
      <w:r>
        <w:rPr>
          <w:rFonts w:hint="eastAsia" w:asciiTheme="minorEastAsia" w:hAnsiTheme="minorEastAsia" w:eastAsiaTheme="minorEastAsia" w:cstheme="minorEastAsia"/>
          <w:sz w:val="24"/>
          <w:szCs w:val="24"/>
        </w:rPr>
        <w:t xml:space="preserve"> 任何要求对谈判采购文件进行澄清的供应商，均应在</w:t>
      </w:r>
      <w:r>
        <w:rPr>
          <w:rFonts w:hint="eastAsia" w:asciiTheme="minorEastAsia" w:hAnsiTheme="minorEastAsia" w:eastAsiaTheme="minorEastAsia" w:cstheme="minorEastAsia"/>
          <w:bCs/>
          <w:sz w:val="24"/>
          <w:szCs w:val="24"/>
        </w:rPr>
        <w:t>单一来源谈判响应文件接收截止时间三天</w:t>
      </w:r>
      <w:r>
        <w:rPr>
          <w:rFonts w:hint="eastAsia" w:asciiTheme="minorEastAsia" w:hAnsiTheme="minorEastAsia" w:eastAsiaTheme="minorEastAsia" w:cstheme="minorEastAsia"/>
          <w:sz w:val="24"/>
          <w:szCs w:val="24"/>
        </w:rPr>
        <w:t>前按采购邀请中的通讯地址，以书面形式通知采购人。</w:t>
      </w:r>
    </w:p>
    <w:p w14:paraId="00428379">
      <w:pPr>
        <w:pStyle w:val="2"/>
        <w:spacing w:before="0" w:after="0" w:line="240" w:lineRule="auto"/>
        <w:ind w:firstLine="480" w:firstLineChars="200"/>
        <w:rPr>
          <w:rFonts w:asciiTheme="minorEastAsia" w:hAnsiTheme="minorEastAsia" w:eastAsiaTheme="minorEastAsia" w:cstheme="minorEastAsia"/>
          <w:b w:val="0"/>
          <w:bCs w:val="0"/>
          <w:sz w:val="24"/>
          <w:szCs w:val="24"/>
        </w:rPr>
      </w:pPr>
      <w:bookmarkStart w:id="52" w:name="_Toc513029212"/>
      <w:bookmarkStart w:id="53" w:name="_Toc20823284"/>
      <w:bookmarkStart w:id="54" w:name="_Toc16938528"/>
      <w:bookmarkStart w:id="55" w:name="_Toc462564071"/>
      <w:r>
        <w:rPr>
          <w:rFonts w:hint="eastAsia" w:asciiTheme="minorEastAsia" w:hAnsiTheme="minorEastAsia" w:eastAsiaTheme="minorEastAsia" w:cstheme="minorEastAsia"/>
          <w:b w:val="0"/>
          <w:bCs w:val="0"/>
          <w:sz w:val="24"/>
          <w:szCs w:val="24"/>
        </w:rPr>
        <w:t>8、谈判采购文件的修改</w:t>
      </w:r>
      <w:bookmarkEnd w:id="52"/>
      <w:bookmarkEnd w:id="53"/>
      <w:bookmarkEnd w:id="54"/>
      <w:bookmarkEnd w:id="55"/>
    </w:p>
    <w:p w14:paraId="12BA6B3D">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8.1</w:t>
      </w:r>
      <w:r>
        <w:rPr>
          <w:rFonts w:hint="eastAsia" w:asciiTheme="minorEastAsia" w:hAnsiTheme="minorEastAsia" w:eastAsiaTheme="minorEastAsia" w:cstheme="minorEastAsia"/>
          <w:sz w:val="24"/>
          <w:szCs w:val="24"/>
        </w:rPr>
        <w:t xml:space="preserve"> 在</w:t>
      </w:r>
      <w:r>
        <w:rPr>
          <w:rFonts w:hint="eastAsia" w:asciiTheme="minorEastAsia" w:hAnsiTheme="minorEastAsia" w:eastAsiaTheme="minorEastAsia" w:cstheme="minorEastAsia"/>
          <w:bCs/>
          <w:sz w:val="24"/>
          <w:szCs w:val="24"/>
        </w:rPr>
        <w:t>单一来源谈判响应文件接收截止时间</w:t>
      </w:r>
      <w:r>
        <w:rPr>
          <w:rFonts w:hint="eastAsia" w:asciiTheme="minorEastAsia" w:hAnsiTheme="minorEastAsia" w:eastAsiaTheme="minorEastAsia" w:cstheme="minorEastAsia"/>
          <w:sz w:val="24"/>
          <w:szCs w:val="24"/>
        </w:rPr>
        <w:t>前，采购人均可以以补充文件的方式对谈判采购文件进行修改。</w:t>
      </w:r>
    </w:p>
    <w:p w14:paraId="14B0B212">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8.2</w:t>
      </w:r>
      <w:r>
        <w:rPr>
          <w:rFonts w:hint="eastAsia" w:asciiTheme="minorEastAsia" w:hAnsiTheme="minorEastAsia" w:eastAsiaTheme="minorEastAsia" w:cstheme="minorEastAsia"/>
          <w:sz w:val="24"/>
          <w:szCs w:val="24"/>
        </w:rPr>
        <w:t>采购人有权按照政府采购的有关要求推迟</w:t>
      </w:r>
      <w:r>
        <w:rPr>
          <w:rFonts w:hint="eastAsia" w:asciiTheme="minorEastAsia" w:hAnsiTheme="minorEastAsia" w:eastAsiaTheme="minorEastAsia" w:cstheme="minorEastAsia"/>
          <w:bCs/>
          <w:sz w:val="24"/>
          <w:szCs w:val="24"/>
        </w:rPr>
        <w:t>单一来源谈判响应文件接收截止时间</w:t>
      </w:r>
      <w:r>
        <w:rPr>
          <w:rFonts w:hint="eastAsia" w:asciiTheme="minorEastAsia" w:hAnsiTheme="minorEastAsia" w:eastAsiaTheme="minorEastAsia" w:cstheme="minorEastAsia"/>
          <w:sz w:val="24"/>
          <w:szCs w:val="24"/>
        </w:rPr>
        <w:t>和单一来源谈判开始时间。</w:t>
      </w:r>
    </w:p>
    <w:p w14:paraId="59AC1324">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8.3</w:t>
      </w:r>
      <w:r>
        <w:rPr>
          <w:rFonts w:hint="eastAsia" w:asciiTheme="minorEastAsia" w:hAnsiTheme="minorEastAsia" w:eastAsiaTheme="minorEastAsia" w:cstheme="minorEastAsia"/>
          <w:sz w:val="24"/>
          <w:szCs w:val="24"/>
        </w:rPr>
        <w:t>谈判采购文件的补充文件将作为谈判采购文件的组成部分，并对供应商具有约束力。</w:t>
      </w:r>
    </w:p>
    <w:p w14:paraId="39673DBA">
      <w:pPr>
        <w:rPr>
          <w:rFonts w:asciiTheme="minorEastAsia" w:hAnsiTheme="minorEastAsia" w:eastAsiaTheme="minorEastAsia" w:cstheme="minorEastAsia"/>
          <w:b/>
          <w:bCs/>
          <w:sz w:val="24"/>
          <w:szCs w:val="24"/>
        </w:rPr>
      </w:pPr>
      <w:bookmarkStart w:id="56" w:name="_Toc120614216"/>
      <w:bookmarkStart w:id="57" w:name="_Toc16938529"/>
      <w:bookmarkStart w:id="58" w:name="_Toc20823285"/>
      <w:bookmarkStart w:id="59" w:name="_Toc462564072"/>
      <w:bookmarkStart w:id="60" w:name="_Toc513029213"/>
      <w:r>
        <w:rPr>
          <w:rFonts w:hint="eastAsia" w:asciiTheme="minorEastAsia" w:hAnsiTheme="minorEastAsia" w:eastAsiaTheme="minorEastAsia" w:cstheme="minorEastAsia"/>
          <w:b/>
          <w:bCs/>
          <w:sz w:val="24"/>
          <w:szCs w:val="24"/>
        </w:rPr>
        <w:t>三、单一来源谈判响应文件的编制</w:t>
      </w:r>
      <w:bookmarkEnd w:id="56"/>
      <w:bookmarkEnd w:id="57"/>
      <w:bookmarkEnd w:id="58"/>
      <w:bookmarkEnd w:id="59"/>
      <w:bookmarkEnd w:id="60"/>
    </w:p>
    <w:p w14:paraId="48B7D8F8">
      <w:pPr>
        <w:pStyle w:val="2"/>
        <w:spacing w:before="0" w:after="0" w:line="240" w:lineRule="auto"/>
        <w:ind w:firstLine="480" w:firstLineChars="200"/>
        <w:rPr>
          <w:rFonts w:asciiTheme="minorEastAsia" w:hAnsiTheme="minorEastAsia" w:eastAsiaTheme="minorEastAsia" w:cstheme="minorEastAsia"/>
          <w:bCs w:val="0"/>
          <w:sz w:val="24"/>
          <w:szCs w:val="24"/>
        </w:rPr>
      </w:pPr>
      <w:bookmarkStart w:id="61" w:name="_Toc462564073"/>
      <w:bookmarkStart w:id="62" w:name="_Toc20823286"/>
      <w:bookmarkStart w:id="63" w:name="_Toc16938530"/>
      <w:bookmarkStart w:id="64" w:name="_Toc513029214"/>
      <w:r>
        <w:rPr>
          <w:rFonts w:hint="eastAsia" w:asciiTheme="minorEastAsia" w:hAnsiTheme="minorEastAsia" w:eastAsiaTheme="minorEastAsia" w:cstheme="minorEastAsia"/>
          <w:b w:val="0"/>
          <w:bCs w:val="0"/>
          <w:sz w:val="24"/>
          <w:szCs w:val="24"/>
        </w:rPr>
        <w:t>9、单一来源谈判响应文件的语言及度量衡单位</w:t>
      </w:r>
      <w:bookmarkEnd w:id="61"/>
      <w:bookmarkEnd w:id="62"/>
      <w:bookmarkEnd w:id="63"/>
      <w:bookmarkEnd w:id="64"/>
    </w:p>
    <w:p w14:paraId="500B781C">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9.1</w:t>
      </w:r>
      <w:r>
        <w:rPr>
          <w:rFonts w:hint="eastAsia" w:asciiTheme="minorEastAsia" w:hAnsiTheme="minorEastAsia" w:eastAsiaTheme="minorEastAsia" w:cstheme="minorEastAsia"/>
          <w:sz w:val="24"/>
          <w:szCs w:val="24"/>
        </w:rPr>
        <w:t xml:space="preserve"> 供应商提交的单一来源谈判响应文件以及供应商与采购人就有关单一来源谈判采购的所有来往通知、函件和文件均应使用</w:t>
      </w:r>
      <w:r>
        <w:rPr>
          <w:rFonts w:hint="eastAsia" w:asciiTheme="minorEastAsia" w:hAnsiTheme="minorEastAsia" w:eastAsiaTheme="minorEastAsia" w:cstheme="minorEastAsia"/>
          <w:b/>
          <w:bCs/>
          <w:sz w:val="24"/>
          <w:szCs w:val="24"/>
        </w:rPr>
        <w:t>简体中文</w:t>
      </w:r>
      <w:r>
        <w:rPr>
          <w:rFonts w:hint="eastAsia" w:asciiTheme="minorEastAsia" w:hAnsiTheme="minorEastAsia" w:eastAsiaTheme="minorEastAsia" w:cstheme="minorEastAsia"/>
          <w:sz w:val="24"/>
          <w:szCs w:val="24"/>
        </w:rPr>
        <w:t>。</w:t>
      </w:r>
    </w:p>
    <w:p w14:paraId="630BB817">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9.2</w:t>
      </w:r>
      <w:r>
        <w:rPr>
          <w:rFonts w:hint="eastAsia" w:asciiTheme="minorEastAsia" w:hAnsiTheme="minorEastAsia" w:eastAsiaTheme="minorEastAsia" w:cstheme="minorEastAsia"/>
          <w:sz w:val="24"/>
          <w:szCs w:val="24"/>
        </w:rPr>
        <w:t xml:space="preserve"> 除技术性能另有规定外，单一来源谈判响应文件所使用的度量衡单位，均须采用国家法定计量单位。</w:t>
      </w:r>
    </w:p>
    <w:p w14:paraId="53A2361A">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65" w:name="_Toc16938531"/>
      <w:bookmarkStart w:id="66" w:name="_Toc513029215"/>
      <w:bookmarkStart w:id="67" w:name="_Toc20823287"/>
      <w:bookmarkStart w:id="68" w:name="_Toc462564074"/>
      <w:r>
        <w:rPr>
          <w:rFonts w:hint="eastAsia" w:asciiTheme="minorEastAsia" w:hAnsiTheme="minorEastAsia" w:eastAsiaTheme="minorEastAsia" w:cstheme="minorEastAsia"/>
          <w:b w:val="0"/>
          <w:bCs w:val="0"/>
          <w:sz w:val="24"/>
          <w:szCs w:val="24"/>
        </w:rPr>
        <w:t>10、单一来源谈判响应文件构成</w:t>
      </w:r>
      <w:bookmarkEnd w:id="65"/>
      <w:bookmarkEnd w:id="66"/>
      <w:bookmarkEnd w:id="67"/>
      <w:bookmarkEnd w:id="68"/>
    </w:p>
    <w:p w14:paraId="110264EE">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10.1</w:t>
      </w:r>
      <w:r>
        <w:rPr>
          <w:rFonts w:hint="eastAsia" w:asciiTheme="minorEastAsia" w:hAnsiTheme="minorEastAsia" w:eastAsiaTheme="minorEastAsia" w:cstheme="minorEastAsia"/>
          <w:sz w:val="24"/>
          <w:szCs w:val="24"/>
        </w:rPr>
        <w:t xml:space="preserve"> 供应商编写的单一来源谈判响应文件应包括资格证明文件、配置与分项报价表、供应一览表、技术参数响应及偏离表、商务条款响应及偏离表、技术及售后服务承诺书和单一来源谈判响应函等部分。</w:t>
      </w:r>
    </w:p>
    <w:p w14:paraId="23E6BE01">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69" w:name="_Hlt26954838"/>
      <w:bookmarkEnd w:id="69"/>
      <w:bookmarkStart w:id="70" w:name="_Hlt26670360"/>
      <w:bookmarkEnd w:id="70"/>
      <w:bookmarkStart w:id="71" w:name="_Hlt26668975"/>
      <w:bookmarkEnd w:id="71"/>
      <w:bookmarkStart w:id="72" w:name="_Toc513029219"/>
      <w:bookmarkStart w:id="73" w:name="_Toc49090509"/>
      <w:bookmarkStart w:id="74" w:name="_Toc14577357"/>
      <w:bookmarkStart w:id="75" w:name="_Toc513029216"/>
      <w:bookmarkStart w:id="76" w:name="_Toc14577354"/>
      <w:bookmarkStart w:id="77" w:name="_Toc49090507"/>
      <w:r>
        <w:rPr>
          <w:rFonts w:hint="eastAsia" w:asciiTheme="minorEastAsia" w:hAnsiTheme="minorEastAsia" w:eastAsiaTheme="minorEastAsia" w:cstheme="minorEastAsia"/>
          <w:b w:val="0"/>
          <w:bCs w:val="0"/>
          <w:sz w:val="24"/>
          <w:szCs w:val="24"/>
        </w:rPr>
        <w:t>11、证明供应商资格及符合谈判采购文件规定的文件</w:t>
      </w:r>
      <w:bookmarkEnd w:id="72"/>
      <w:bookmarkEnd w:id="73"/>
      <w:bookmarkEnd w:id="74"/>
    </w:p>
    <w:p w14:paraId="6613E109">
      <w:pPr>
        <w:ind w:firstLine="480" w:firstLineChars="200"/>
        <w:rPr>
          <w:rFonts w:asciiTheme="minorEastAsia" w:hAnsiTheme="minorEastAsia" w:eastAsiaTheme="minorEastAsia" w:cstheme="minorEastAsia"/>
          <w:sz w:val="24"/>
          <w:szCs w:val="24"/>
        </w:rPr>
      </w:pPr>
      <w:bookmarkStart w:id="78" w:name="_Hlk142335643"/>
      <w:r>
        <w:rPr>
          <w:rFonts w:hint="eastAsia" w:asciiTheme="minorEastAsia" w:hAnsiTheme="minorEastAsia" w:eastAsiaTheme="minorEastAsia" w:cstheme="minorEastAsia"/>
          <w:sz w:val="24"/>
          <w:szCs w:val="24"/>
        </w:rPr>
        <w:t>11.1</w:t>
      </w:r>
      <w:bookmarkStart w:id="79" w:name="_Hlt26668999"/>
      <w:bookmarkEnd w:id="79"/>
      <w:r>
        <w:rPr>
          <w:rFonts w:hint="eastAsia" w:asciiTheme="minorEastAsia" w:hAnsiTheme="minorEastAsia" w:eastAsiaTheme="minorEastAsia" w:cstheme="minorEastAsia"/>
          <w:sz w:val="24"/>
          <w:szCs w:val="24"/>
        </w:rPr>
        <w:t>供应商应按要求提交资格证明文件及符合谈判采购文件规定的文件。</w:t>
      </w:r>
    </w:p>
    <w:p w14:paraId="23AD0AB6">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11.2供应商应提交证明其有资格参加单一来源谈判和成交后有能力独立履行合同的文件。</w:t>
      </w:r>
    </w:p>
    <w:p w14:paraId="4080A5EF">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11.3供应商除必须具有履行合同所需提供的货物以及服务的能力外，还必须具备相应的财务、技术方面的能力。</w:t>
      </w:r>
    </w:p>
    <w:p w14:paraId="226A960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11.4供应商应提交根据合同要求提供的证明产品质量合格以及符合谈判采购文件规定的证明文件。</w:t>
      </w:r>
    </w:p>
    <w:p w14:paraId="6E0B042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证明供应商所提供货物和服务都符合谈判采购文件要求的文件应该是鉴定书、样本、说明书、图样和资料，并须提供：</w:t>
      </w:r>
    </w:p>
    <w:p w14:paraId="37AA418D">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① 货物的主要技术数据和性能的详细描述，服务的履约能力、功能需求实现等应以正式印刷的样本、使用手册、说明书、检测报告、或网上公开发布的数据来证实。 </w:t>
      </w:r>
    </w:p>
    <w:p w14:paraId="19A196DE">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 根据谈判采购文件的技术需求逐条说明货物或服务对技术需求的适合性，如有不符之处，应说明其差别之所在；</w:t>
      </w:r>
    </w:p>
    <w:p w14:paraId="6725718D">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③ 对上述②条的说明，请供应商注意：</w:t>
      </w:r>
    </w:p>
    <w:p w14:paraId="22822330">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 xml:space="preserve">谈判采购文件的技术要求中所提出工艺、材料和货物的标准以及参照的品牌或型号仅起说明作用，并没有任何限制性。供应商可以在响应文件中提出不同的标准、品牌或型号以替代，但应使评标委员会相信这些替代实质上满足或超过谈判采购文件的要求，并且使采购人满意。采购人保留拒绝这种替代的权利。 </w:t>
      </w:r>
    </w:p>
    <w:bookmarkEnd w:id="75"/>
    <w:bookmarkEnd w:id="76"/>
    <w:bookmarkEnd w:id="77"/>
    <w:bookmarkEnd w:id="78"/>
    <w:p w14:paraId="758CB0AA">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80" w:name="_Toc14577355"/>
      <w:bookmarkStart w:id="81" w:name="_Toc49090508"/>
      <w:r>
        <w:rPr>
          <w:rFonts w:hint="eastAsia" w:asciiTheme="minorEastAsia" w:hAnsiTheme="minorEastAsia" w:eastAsiaTheme="minorEastAsia" w:cstheme="minorEastAsia"/>
          <w:b w:val="0"/>
          <w:bCs w:val="0"/>
          <w:sz w:val="24"/>
          <w:szCs w:val="24"/>
        </w:rPr>
        <w:t>12、供应一览表和</w:t>
      </w:r>
      <w:bookmarkEnd w:id="80"/>
      <w:r>
        <w:rPr>
          <w:rFonts w:hint="eastAsia" w:asciiTheme="minorEastAsia" w:hAnsiTheme="minorEastAsia" w:eastAsiaTheme="minorEastAsia" w:cstheme="minorEastAsia"/>
          <w:b w:val="0"/>
          <w:bCs w:val="0"/>
          <w:sz w:val="24"/>
          <w:szCs w:val="24"/>
        </w:rPr>
        <w:t>配置与分项报价表</w:t>
      </w:r>
      <w:bookmarkEnd w:id="81"/>
    </w:p>
    <w:p w14:paraId="31626DDC">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12.1</w:t>
      </w:r>
      <w:r>
        <w:rPr>
          <w:rFonts w:hint="eastAsia" w:asciiTheme="minorEastAsia" w:hAnsiTheme="minorEastAsia" w:eastAsiaTheme="minorEastAsia" w:cstheme="minorEastAsia"/>
          <w:sz w:val="24"/>
          <w:szCs w:val="24"/>
        </w:rPr>
        <w:t xml:space="preserve"> </w:t>
      </w:r>
      <w:bookmarkStart w:id="82" w:name="_Hlk142335726"/>
      <w:r>
        <w:rPr>
          <w:rFonts w:hint="eastAsia" w:asciiTheme="minorEastAsia" w:hAnsiTheme="minorEastAsia" w:eastAsiaTheme="minorEastAsia" w:cstheme="minorEastAsia"/>
          <w:sz w:val="24"/>
          <w:szCs w:val="24"/>
        </w:rPr>
        <w:t>供应商应按照谈判采购文件规定格式填报供应一览表、配置与分项报价表</w:t>
      </w:r>
      <w:bookmarkStart w:id="83" w:name="_Hlt26670399"/>
      <w:bookmarkEnd w:id="83"/>
      <w:r>
        <w:rPr>
          <w:rFonts w:hint="eastAsia" w:asciiTheme="minorEastAsia" w:hAnsiTheme="minorEastAsia" w:eastAsiaTheme="minorEastAsia" w:cstheme="minorEastAsia"/>
          <w:sz w:val="24"/>
          <w:szCs w:val="24"/>
        </w:rPr>
        <w:t>，在表中标明所提供的产品名称、规格、型号、原产地、主要部件型号及其功能的中文说明和供应期。每项产品和服务等只允许有一个报价，任何有选择的报价将不予接受(如有备选配件，备选配件的报价不属于选择的报价)。</w:t>
      </w:r>
      <w:bookmarkEnd w:id="82"/>
    </w:p>
    <w:p w14:paraId="281D4D64">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12.2</w:t>
      </w:r>
      <w:r>
        <w:rPr>
          <w:rFonts w:hint="eastAsia" w:asciiTheme="minorEastAsia" w:hAnsiTheme="minorEastAsia" w:eastAsiaTheme="minorEastAsia" w:cstheme="minorEastAsia"/>
          <w:sz w:val="24"/>
          <w:szCs w:val="24"/>
        </w:rPr>
        <w:t xml:space="preserve"> 标的物</w:t>
      </w:r>
    </w:p>
    <w:p w14:paraId="072EBF36">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采购人需求的产品供应及有关技术服务等</w:t>
      </w:r>
      <w:r>
        <w:rPr>
          <w:rFonts w:hint="eastAsia" w:asciiTheme="minorEastAsia" w:hAnsiTheme="minorEastAsia" w:eastAsiaTheme="minorEastAsia" w:cstheme="minorEastAsia"/>
          <w:sz w:val="24"/>
          <w:szCs w:val="24"/>
        </w:rPr>
        <w:t>。</w:t>
      </w:r>
    </w:p>
    <w:p w14:paraId="276A31D7">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12.3</w:t>
      </w:r>
      <w:r>
        <w:rPr>
          <w:rFonts w:hint="eastAsia" w:asciiTheme="minorEastAsia" w:hAnsiTheme="minorEastAsia" w:eastAsiaTheme="minorEastAsia" w:cstheme="minorEastAsia"/>
          <w:bCs/>
          <w:sz w:val="24"/>
          <w:szCs w:val="24"/>
        </w:rPr>
        <w:t>有关费用处理</w:t>
      </w:r>
    </w:p>
    <w:p w14:paraId="3006D9ED">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供应商的报价应包括为完成本项目发生的所有费用，谈判采购文件中另有规定的除外。</w:t>
      </w:r>
    </w:p>
    <w:p w14:paraId="11E32441">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12.4</w:t>
      </w:r>
      <w:r>
        <w:rPr>
          <w:rFonts w:hint="eastAsia" w:asciiTheme="minorEastAsia" w:hAnsiTheme="minorEastAsia" w:eastAsiaTheme="minorEastAsia" w:cstheme="minorEastAsia"/>
          <w:bCs/>
          <w:sz w:val="24"/>
          <w:szCs w:val="24"/>
        </w:rPr>
        <w:t>其它费用处理</w:t>
      </w:r>
    </w:p>
    <w:p w14:paraId="51F28C35">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谈判采购文件未列明，而供应商认为必需的费用也需列入报价。</w:t>
      </w:r>
    </w:p>
    <w:p w14:paraId="60F9A8BD">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12.5</w:t>
      </w:r>
      <w:r>
        <w:rPr>
          <w:rFonts w:hint="eastAsia" w:asciiTheme="minorEastAsia" w:hAnsiTheme="minorEastAsia" w:eastAsiaTheme="minorEastAsia" w:cstheme="minorEastAsia"/>
          <w:bCs/>
          <w:sz w:val="24"/>
          <w:szCs w:val="24"/>
        </w:rPr>
        <w:t>报价采用的货币</w:t>
      </w:r>
    </w:p>
    <w:p w14:paraId="64CB528B">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单一来源谈判响应文件中的货物单价和总价无另行规定的采用人民币报价。</w:t>
      </w:r>
      <w:r>
        <w:rPr>
          <w:rFonts w:hint="eastAsia" w:asciiTheme="minorEastAsia" w:hAnsiTheme="minorEastAsia" w:eastAsiaTheme="minorEastAsia" w:cstheme="minorEastAsia"/>
          <w:sz w:val="24"/>
          <w:szCs w:val="24"/>
        </w:rPr>
        <w:t>谈判采购文件中另有规定的按规定执行。</w:t>
      </w:r>
    </w:p>
    <w:p w14:paraId="672A904F">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84" w:name="_Hlt26670482"/>
      <w:bookmarkEnd w:id="84"/>
      <w:bookmarkStart w:id="85" w:name="_Hlt26670486"/>
      <w:bookmarkEnd w:id="85"/>
      <w:bookmarkStart w:id="86" w:name="_Hlt26954848"/>
      <w:bookmarkEnd w:id="86"/>
      <w:bookmarkStart w:id="87" w:name="_Hlt26954846"/>
      <w:bookmarkEnd w:id="87"/>
      <w:bookmarkStart w:id="88" w:name="_Hlt26954731"/>
      <w:bookmarkEnd w:id="88"/>
      <w:r>
        <w:rPr>
          <w:rFonts w:hint="eastAsia" w:asciiTheme="minorEastAsia" w:hAnsiTheme="minorEastAsia" w:eastAsiaTheme="minorEastAsia" w:cstheme="minorEastAsia"/>
          <w:b w:val="0"/>
          <w:bCs w:val="0"/>
          <w:sz w:val="24"/>
          <w:szCs w:val="24"/>
        </w:rPr>
        <w:t>13、技术参数响应及偏离表、商务条款响应及偏离表及货物说明</w:t>
      </w:r>
    </w:p>
    <w:p w14:paraId="66EF2387">
      <w:pPr>
        <w:autoSpaceDE w:val="0"/>
        <w:autoSpaceDN w:val="0"/>
        <w:adjustRightInd w:val="0"/>
        <w:ind w:firstLine="48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Cs/>
          <w:sz w:val="24"/>
          <w:szCs w:val="24"/>
          <w:lang w:val="zh-CN"/>
        </w:rPr>
        <w:t>13.1</w:t>
      </w:r>
      <w:r>
        <w:rPr>
          <w:rFonts w:hint="eastAsia" w:asciiTheme="minorEastAsia" w:hAnsiTheme="minorEastAsia" w:eastAsiaTheme="minorEastAsia" w:cstheme="minorEastAsia"/>
          <w:sz w:val="24"/>
          <w:szCs w:val="24"/>
          <w:lang w:val="zh-CN"/>
        </w:rPr>
        <w:t xml:space="preserve"> 对谈判采购文件中的技术与商务条款要求逐项作出响应或偏离，并说明原因；</w:t>
      </w:r>
    </w:p>
    <w:p w14:paraId="7F32E368">
      <w:pPr>
        <w:tabs>
          <w:tab w:val="left" w:pos="1035"/>
        </w:tabs>
        <w:autoSpaceDE w:val="0"/>
        <w:autoSpaceDN w:val="0"/>
        <w:adjustRightInd w:val="0"/>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13.2 提供本项目类似案例简介；</w:t>
      </w:r>
    </w:p>
    <w:p w14:paraId="5E4B062A">
      <w:pPr>
        <w:tabs>
          <w:tab w:val="left" w:pos="1035"/>
        </w:tabs>
        <w:autoSpaceDE w:val="0"/>
        <w:autoSpaceDN w:val="0"/>
        <w:adjustRightInd w:val="0"/>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13.3 培训计划；</w:t>
      </w:r>
    </w:p>
    <w:p w14:paraId="7F385CFC">
      <w:pPr>
        <w:tabs>
          <w:tab w:val="left" w:pos="1035"/>
        </w:tabs>
        <w:autoSpaceDE w:val="0"/>
        <w:autoSpaceDN w:val="0"/>
        <w:adjustRightInd w:val="0"/>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13.4 详细阐述所投产品的主要组成部分、功能设计、实现思路及关键技术；</w:t>
      </w:r>
    </w:p>
    <w:p w14:paraId="305426AF">
      <w:pPr>
        <w:tabs>
          <w:tab w:val="left" w:pos="1035"/>
        </w:tabs>
        <w:autoSpaceDE w:val="0"/>
        <w:autoSpaceDN w:val="0"/>
        <w:adjustRightInd w:val="0"/>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13.5 供应商认为需要的其他技术文件或说明。</w:t>
      </w:r>
    </w:p>
    <w:p w14:paraId="275CDA39">
      <w:pPr>
        <w:pStyle w:val="2"/>
        <w:spacing w:before="0" w:after="0" w:line="240" w:lineRule="auto"/>
        <w:ind w:firstLine="360" w:firstLineChars="15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14、服务承诺及售后服务机构、人员的情况介绍</w:t>
      </w:r>
    </w:p>
    <w:p w14:paraId="302C7D9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rPr>
        <w:t xml:space="preserve">14、1 </w:t>
      </w:r>
      <w:r>
        <w:rPr>
          <w:rFonts w:hint="eastAsia" w:asciiTheme="minorEastAsia" w:hAnsiTheme="minorEastAsia" w:eastAsiaTheme="minorEastAsia" w:cstheme="minorEastAsia"/>
          <w:sz w:val="24"/>
          <w:szCs w:val="24"/>
        </w:rPr>
        <w:t>供应商的服务承诺应按不低于谈判采购文件中商务要求的标准。</w:t>
      </w:r>
    </w:p>
    <w:p w14:paraId="35DB159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14、2 </w:t>
      </w:r>
      <w:r>
        <w:rPr>
          <w:rFonts w:hint="eastAsia" w:asciiTheme="minorEastAsia" w:hAnsiTheme="minorEastAsia" w:eastAsiaTheme="minorEastAsia" w:cstheme="minorEastAsia"/>
          <w:sz w:val="24"/>
          <w:szCs w:val="24"/>
        </w:rPr>
        <w:t>提供供应商有关售后服务的管理制度、售后服务机构的分布情况、售后服务人员的数量、素质、技术水平及售后服务的反应能力。</w:t>
      </w:r>
    </w:p>
    <w:p w14:paraId="30D85F35">
      <w:pPr>
        <w:pStyle w:val="2"/>
        <w:spacing w:before="0" w:after="0" w:line="240" w:lineRule="auto"/>
        <w:ind w:firstLine="360" w:firstLineChars="150"/>
        <w:rPr>
          <w:rFonts w:asciiTheme="minorEastAsia" w:hAnsiTheme="minorEastAsia" w:eastAsiaTheme="minorEastAsia" w:cstheme="minorEastAsia"/>
          <w:b w:val="0"/>
          <w:bCs w:val="0"/>
          <w:sz w:val="24"/>
          <w:szCs w:val="24"/>
        </w:rPr>
      </w:pPr>
      <w:bookmarkStart w:id="89" w:name="_Toc49090510"/>
      <w:bookmarkStart w:id="90" w:name="_Toc14577359"/>
      <w:r>
        <w:rPr>
          <w:rFonts w:hint="eastAsia" w:asciiTheme="minorEastAsia" w:hAnsiTheme="minorEastAsia" w:eastAsiaTheme="minorEastAsia" w:cstheme="minorEastAsia"/>
          <w:b w:val="0"/>
          <w:bCs w:val="0"/>
          <w:sz w:val="24"/>
          <w:szCs w:val="24"/>
        </w:rPr>
        <w:t>15、单一来源谈判响应函</w:t>
      </w:r>
    </w:p>
    <w:p w14:paraId="77C938CF">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15.1</w:t>
      </w:r>
      <w:r>
        <w:rPr>
          <w:rFonts w:hint="eastAsia" w:asciiTheme="minorEastAsia" w:hAnsiTheme="minorEastAsia" w:eastAsiaTheme="minorEastAsia" w:cstheme="minorEastAsia"/>
          <w:sz w:val="24"/>
          <w:szCs w:val="24"/>
        </w:rPr>
        <w:t xml:space="preserve"> 供应商应按照谈判采购文件中提供的格式完整、正确填写单一来源谈判响应函。</w:t>
      </w:r>
    </w:p>
    <w:p w14:paraId="7D95651E">
      <w:pPr>
        <w:pStyle w:val="2"/>
        <w:spacing w:before="0" w:after="0" w:line="240" w:lineRule="auto"/>
        <w:ind w:firstLine="360" w:firstLineChars="15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16、单一来源谈判保证金</w:t>
      </w:r>
      <w:bookmarkEnd w:id="89"/>
      <w:bookmarkEnd w:id="90"/>
    </w:p>
    <w:p w14:paraId="67551CEB">
      <w:pPr>
        <w:ind w:firstLine="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16.1本次单一来源谈判不收取保证金</w:t>
      </w:r>
      <w:r>
        <w:rPr>
          <w:rFonts w:hint="eastAsia" w:asciiTheme="minorEastAsia" w:hAnsiTheme="minorEastAsia" w:eastAsiaTheme="minorEastAsia" w:cstheme="minorEastAsia"/>
          <w:bCs/>
          <w:sz w:val="24"/>
          <w:szCs w:val="24"/>
        </w:rPr>
        <w:t>。</w:t>
      </w:r>
    </w:p>
    <w:p w14:paraId="4743484D">
      <w:pPr>
        <w:pStyle w:val="2"/>
        <w:spacing w:before="0" w:after="0" w:line="240" w:lineRule="auto"/>
        <w:rPr>
          <w:rFonts w:asciiTheme="minorEastAsia" w:hAnsiTheme="minorEastAsia" w:eastAsiaTheme="minorEastAsia" w:cstheme="minorEastAsia"/>
          <w:b w:val="0"/>
          <w:bCs w:val="0"/>
          <w:sz w:val="24"/>
          <w:szCs w:val="24"/>
        </w:rPr>
      </w:pPr>
      <w:bookmarkStart w:id="91" w:name="_Hlt26954852"/>
      <w:bookmarkEnd w:id="91"/>
      <w:bookmarkStart w:id="92" w:name="_Hlt26670489"/>
      <w:bookmarkEnd w:id="92"/>
      <w:bookmarkStart w:id="93" w:name="_Hlt26954850"/>
      <w:bookmarkEnd w:id="93"/>
      <w:bookmarkStart w:id="94" w:name="_Hlt26954739"/>
      <w:bookmarkEnd w:id="94"/>
      <w:bookmarkStart w:id="95" w:name="_Hlt26954734"/>
      <w:bookmarkEnd w:id="95"/>
      <w:bookmarkStart w:id="96" w:name="_Toc14577361"/>
      <w:bookmarkStart w:id="97" w:name="_Toc49090512"/>
      <w:r>
        <w:rPr>
          <w:rFonts w:hint="eastAsia" w:asciiTheme="minorEastAsia" w:hAnsiTheme="minorEastAsia" w:eastAsiaTheme="minorEastAsia" w:cstheme="minorEastAsia"/>
          <w:b w:val="0"/>
          <w:bCs w:val="0"/>
          <w:sz w:val="24"/>
          <w:szCs w:val="24"/>
        </w:rPr>
        <w:t>17、单一来源谈判响应文件份数和签署</w:t>
      </w:r>
      <w:bookmarkEnd w:id="96"/>
      <w:bookmarkEnd w:id="97"/>
    </w:p>
    <w:p w14:paraId="7B397F25">
      <w:pPr>
        <w:ind w:firstLine="480" w:firstLineChars="200"/>
        <w:rPr>
          <w:rFonts w:asciiTheme="minorEastAsia" w:hAnsiTheme="minorEastAsia" w:eastAsiaTheme="minorEastAsia" w:cstheme="minorEastAsia"/>
          <w:b/>
          <w:kern w:val="0"/>
          <w:position w:val="-10"/>
          <w:sz w:val="24"/>
          <w:szCs w:val="24"/>
          <w:u w:val="single"/>
        </w:rPr>
      </w:pPr>
      <w:r>
        <w:rPr>
          <w:rFonts w:hint="eastAsia" w:asciiTheme="minorEastAsia" w:hAnsiTheme="minorEastAsia" w:eastAsiaTheme="minorEastAsia" w:cstheme="minorEastAsia"/>
          <w:bCs/>
          <w:kern w:val="0"/>
          <w:position w:val="-10"/>
          <w:sz w:val="24"/>
          <w:szCs w:val="24"/>
        </w:rPr>
        <w:t>17.1 除另有说明外，供应商须准备</w:t>
      </w:r>
      <w:r>
        <w:rPr>
          <w:rFonts w:hint="eastAsia" w:asciiTheme="minorEastAsia" w:hAnsiTheme="minorEastAsia" w:eastAsiaTheme="minorEastAsia" w:cstheme="minorEastAsia"/>
          <w:b/>
          <w:kern w:val="0"/>
          <w:position w:val="-10"/>
          <w:sz w:val="24"/>
          <w:szCs w:val="24"/>
          <w:u w:val="single"/>
        </w:rPr>
        <w:t>一式2份</w:t>
      </w:r>
      <w:r>
        <w:rPr>
          <w:rFonts w:hint="eastAsia" w:asciiTheme="minorEastAsia" w:hAnsiTheme="minorEastAsia" w:eastAsiaTheme="minorEastAsia" w:cstheme="minorEastAsia"/>
          <w:bCs/>
          <w:kern w:val="0"/>
          <w:position w:val="-10"/>
          <w:sz w:val="24"/>
          <w:szCs w:val="24"/>
        </w:rPr>
        <w:t>，正本1份，副本1份，每份响应文件须清楚地标明“正本”或“副本”字样。一旦正本和副本不符，以正本为准。</w:t>
      </w:r>
    </w:p>
    <w:p w14:paraId="67CFB217">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17.2 响应文件的正本和所有的副本均需打印或复印，</w:t>
      </w:r>
      <w:r>
        <w:rPr>
          <w:rFonts w:hint="eastAsia" w:asciiTheme="minorEastAsia" w:hAnsiTheme="minorEastAsia" w:eastAsiaTheme="minorEastAsia" w:cstheme="minorEastAsia"/>
          <w:b/>
          <w:kern w:val="0"/>
          <w:position w:val="-10"/>
          <w:sz w:val="24"/>
          <w:szCs w:val="24"/>
          <w:u w:val="single"/>
        </w:rPr>
        <w:t>*正本应加盖公章并由供应商法定代表人或其授权代表签字（自然人可不加盖公章，仅由本人签字）。授权代表须提供法定代表人以书面形式出具的“法定代表人授权书”（原件，由法人签章并加盖企业公章。自然人可不加盖公章，仅由法人本人签字）授权其负责本项目投标。授权书原件须放入正本响应文件中</w:t>
      </w:r>
      <w:r>
        <w:rPr>
          <w:rFonts w:hint="eastAsia" w:asciiTheme="minorEastAsia" w:hAnsiTheme="minorEastAsia" w:eastAsiaTheme="minorEastAsia" w:cstheme="minorEastAsia"/>
          <w:bCs/>
          <w:kern w:val="0"/>
          <w:position w:val="-10"/>
          <w:sz w:val="24"/>
          <w:szCs w:val="24"/>
        </w:rPr>
        <w:t>。</w:t>
      </w:r>
    </w:p>
    <w:p w14:paraId="25EFFBBE">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17.3 除供应商对错处做必要修改外，响应文件不得行间插字、涂改或增删。如有修改错漏处，必须由法定代表人或其授权代表签字或盖章。</w:t>
      </w:r>
    </w:p>
    <w:p w14:paraId="02996445">
      <w:pPr>
        <w:pStyle w:val="2"/>
        <w:spacing w:before="0" w:after="0" w:line="240" w:lineRule="auto"/>
        <w:rPr>
          <w:rFonts w:asciiTheme="minorEastAsia" w:hAnsiTheme="minorEastAsia" w:eastAsiaTheme="minorEastAsia" w:cstheme="minorEastAsia"/>
          <w:sz w:val="24"/>
          <w:szCs w:val="24"/>
        </w:rPr>
      </w:pPr>
      <w:bookmarkStart w:id="98" w:name="_Toc16938540"/>
      <w:bookmarkStart w:id="99" w:name="_Toc20823296"/>
      <w:bookmarkStart w:id="100" w:name="_Toc513029224"/>
      <w:bookmarkStart w:id="101" w:name="_Toc120614217"/>
      <w:r>
        <w:rPr>
          <w:rFonts w:hint="eastAsia" w:asciiTheme="minorEastAsia" w:hAnsiTheme="minorEastAsia" w:eastAsiaTheme="minorEastAsia" w:cstheme="minorEastAsia"/>
          <w:sz w:val="24"/>
          <w:szCs w:val="24"/>
        </w:rPr>
        <w:t>四、单一来源谈判响应文件的递交</w:t>
      </w:r>
      <w:bookmarkEnd w:id="98"/>
      <w:bookmarkEnd w:id="99"/>
      <w:bookmarkEnd w:id="100"/>
      <w:bookmarkEnd w:id="101"/>
    </w:p>
    <w:p w14:paraId="51A8600A">
      <w:pPr>
        <w:pStyle w:val="2"/>
        <w:spacing w:before="0" w:after="0" w:line="240" w:lineRule="auto"/>
        <w:rPr>
          <w:rFonts w:asciiTheme="minorEastAsia" w:hAnsiTheme="minorEastAsia" w:eastAsiaTheme="minorEastAsia" w:cstheme="minorEastAsia"/>
          <w:b w:val="0"/>
          <w:bCs w:val="0"/>
          <w:sz w:val="24"/>
          <w:szCs w:val="24"/>
        </w:rPr>
      </w:pPr>
      <w:bookmarkStart w:id="102" w:name="_Toc513029225"/>
      <w:bookmarkStart w:id="103" w:name="_Toc16938541"/>
      <w:bookmarkStart w:id="104" w:name="_Toc20823297"/>
      <w:bookmarkStart w:id="105" w:name="_Toc462564084"/>
      <w:r>
        <w:rPr>
          <w:rFonts w:hint="eastAsia" w:asciiTheme="minorEastAsia" w:hAnsiTheme="minorEastAsia" w:eastAsiaTheme="minorEastAsia" w:cstheme="minorEastAsia"/>
          <w:b w:val="0"/>
          <w:bCs w:val="0"/>
          <w:sz w:val="24"/>
          <w:szCs w:val="24"/>
        </w:rPr>
        <w:t>18、单一来源谈判响应文件的</w:t>
      </w:r>
      <w:bookmarkEnd w:id="102"/>
      <w:bookmarkEnd w:id="103"/>
      <w:bookmarkEnd w:id="104"/>
      <w:bookmarkEnd w:id="105"/>
      <w:r>
        <w:rPr>
          <w:rFonts w:hint="eastAsia" w:asciiTheme="minorEastAsia" w:hAnsiTheme="minorEastAsia" w:eastAsiaTheme="minorEastAsia" w:cstheme="minorEastAsia"/>
          <w:b w:val="0"/>
          <w:bCs w:val="0"/>
          <w:sz w:val="24"/>
          <w:szCs w:val="24"/>
        </w:rPr>
        <w:t>递交</w:t>
      </w:r>
    </w:p>
    <w:p w14:paraId="43794995">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18.1供应商应将响应文件正本、所有副本和电子版文件予以密封。不论供应商成交与否，响应文件均不退回。</w:t>
      </w:r>
    </w:p>
    <w:p w14:paraId="1F08C3D4">
      <w:pPr>
        <w:ind w:firstLine="480" w:firstLineChars="200"/>
        <w:rPr>
          <w:rFonts w:asciiTheme="minorEastAsia" w:hAnsiTheme="minorEastAsia" w:eastAsiaTheme="minorEastAsia" w:cstheme="minorEastAsia"/>
          <w:bCs/>
          <w:kern w:val="0"/>
          <w:position w:val="-10"/>
          <w:sz w:val="24"/>
          <w:szCs w:val="24"/>
        </w:rPr>
      </w:pPr>
      <w:r>
        <w:rPr>
          <w:rFonts w:hint="eastAsia" w:asciiTheme="minorEastAsia" w:hAnsiTheme="minorEastAsia" w:eastAsiaTheme="minorEastAsia" w:cstheme="minorEastAsia"/>
          <w:bCs/>
          <w:kern w:val="0"/>
          <w:position w:val="-10"/>
          <w:sz w:val="24"/>
          <w:szCs w:val="24"/>
        </w:rPr>
        <w:t>18.2 密封的响应文件应：注明供应商名称，如因标注不清而产生的后果由供应商自负。按单一来源谈判邀请中注明的地址送达；</w:t>
      </w:r>
    </w:p>
    <w:p w14:paraId="2E4D68AB">
      <w:pPr>
        <w:pStyle w:val="2"/>
        <w:spacing w:before="0" w:after="0" w:line="240" w:lineRule="auto"/>
        <w:rPr>
          <w:rFonts w:asciiTheme="minorEastAsia" w:hAnsiTheme="minorEastAsia" w:eastAsiaTheme="minorEastAsia" w:cstheme="minorEastAsia"/>
          <w:b w:val="0"/>
          <w:bCs w:val="0"/>
          <w:sz w:val="24"/>
          <w:szCs w:val="24"/>
        </w:rPr>
      </w:pPr>
      <w:bookmarkStart w:id="106" w:name="_Toc513029226"/>
      <w:bookmarkStart w:id="107" w:name="_Toc16938542"/>
      <w:bookmarkStart w:id="108" w:name="_Toc20823298"/>
      <w:r>
        <w:rPr>
          <w:rFonts w:hint="eastAsia" w:asciiTheme="minorEastAsia" w:hAnsiTheme="minorEastAsia" w:eastAsiaTheme="minorEastAsia" w:cstheme="minorEastAsia"/>
          <w:b w:val="0"/>
          <w:bCs w:val="0"/>
          <w:sz w:val="24"/>
          <w:szCs w:val="24"/>
        </w:rPr>
        <w:t>19、单一来源谈判响应文件接收截止</w:t>
      </w:r>
      <w:bookmarkEnd w:id="106"/>
      <w:bookmarkEnd w:id="107"/>
      <w:bookmarkEnd w:id="108"/>
      <w:r>
        <w:rPr>
          <w:rFonts w:hint="eastAsia" w:asciiTheme="minorEastAsia" w:hAnsiTheme="minorEastAsia" w:eastAsiaTheme="minorEastAsia" w:cstheme="minorEastAsia"/>
          <w:b w:val="0"/>
          <w:bCs w:val="0"/>
          <w:sz w:val="24"/>
          <w:szCs w:val="24"/>
        </w:rPr>
        <w:t>时间</w:t>
      </w:r>
    </w:p>
    <w:p w14:paraId="6AB53AFD">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19.1采购人收到响应文件的时间不得迟于采购邀请中规定的截止时间。</w:t>
      </w:r>
    </w:p>
    <w:p w14:paraId="45A4F811">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 采购人可以按照规定，通过修改谈判采购文件有权酌情延长单一来源谈判响应文件接收截止时间，在此情况下，供应商的所有权利和义务以及供应商受制的截止日期均应以延长后新的截止日期为准。</w:t>
      </w:r>
    </w:p>
    <w:p w14:paraId="64CD7D30">
      <w:pPr>
        <w:pStyle w:val="2"/>
        <w:spacing w:before="0" w:after="0" w:line="240" w:lineRule="auto"/>
        <w:rPr>
          <w:rFonts w:asciiTheme="minorEastAsia" w:hAnsiTheme="minorEastAsia" w:eastAsiaTheme="minorEastAsia" w:cstheme="minorEastAsia"/>
          <w:b w:val="0"/>
          <w:bCs w:val="0"/>
          <w:sz w:val="24"/>
          <w:szCs w:val="24"/>
        </w:rPr>
      </w:pPr>
      <w:bookmarkStart w:id="109" w:name="_Toc16938543"/>
      <w:bookmarkStart w:id="110" w:name="_Toc513029227"/>
      <w:bookmarkStart w:id="111" w:name="_Toc20823299"/>
      <w:r>
        <w:rPr>
          <w:rFonts w:hint="eastAsia" w:asciiTheme="minorEastAsia" w:hAnsiTheme="minorEastAsia" w:eastAsiaTheme="minorEastAsia" w:cstheme="minorEastAsia"/>
          <w:b w:val="0"/>
          <w:bCs w:val="0"/>
          <w:sz w:val="24"/>
          <w:szCs w:val="24"/>
        </w:rPr>
        <w:t>20、谈判响应文件</w:t>
      </w:r>
      <w:bookmarkEnd w:id="109"/>
      <w:bookmarkEnd w:id="110"/>
      <w:bookmarkEnd w:id="111"/>
      <w:r>
        <w:rPr>
          <w:rFonts w:hint="eastAsia" w:asciiTheme="minorEastAsia" w:hAnsiTheme="minorEastAsia" w:eastAsiaTheme="minorEastAsia" w:cstheme="minorEastAsia"/>
          <w:b w:val="0"/>
          <w:bCs w:val="0"/>
          <w:sz w:val="24"/>
          <w:szCs w:val="24"/>
        </w:rPr>
        <w:t>的拒收</w:t>
      </w:r>
    </w:p>
    <w:p w14:paraId="3A48928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 采购人将拒绝接收在其规定的谈判响应文件递交截止时间后上传的任何谈判响应文件。</w:t>
      </w:r>
    </w:p>
    <w:p w14:paraId="0D2AE538">
      <w:pPr>
        <w:pStyle w:val="2"/>
        <w:spacing w:before="0" w:after="0" w:line="240" w:lineRule="auto"/>
        <w:rPr>
          <w:rFonts w:asciiTheme="minorEastAsia" w:hAnsiTheme="minorEastAsia" w:eastAsiaTheme="minorEastAsia" w:cstheme="minorEastAsia"/>
          <w:b w:val="0"/>
          <w:bCs w:val="0"/>
          <w:sz w:val="24"/>
          <w:szCs w:val="24"/>
        </w:rPr>
      </w:pPr>
      <w:bookmarkStart w:id="112" w:name="_Toc16938544"/>
      <w:bookmarkStart w:id="113" w:name="_Toc513029228"/>
      <w:bookmarkStart w:id="114" w:name="_Toc20823300"/>
      <w:r>
        <w:rPr>
          <w:rFonts w:hint="eastAsia" w:asciiTheme="minorEastAsia" w:hAnsiTheme="minorEastAsia" w:eastAsiaTheme="minorEastAsia" w:cstheme="minorEastAsia"/>
          <w:b w:val="0"/>
          <w:bCs w:val="0"/>
          <w:sz w:val="24"/>
          <w:szCs w:val="24"/>
        </w:rPr>
        <w:t>21、单一来源谈判响应文件的修改和撤回</w:t>
      </w:r>
      <w:bookmarkEnd w:id="112"/>
      <w:bookmarkEnd w:id="113"/>
      <w:bookmarkEnd w:id="114"/>
    </w:p>
    <w:p w14:paraId="41A85F7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21.1响应文件的撤回</w:t>
      </w:r>
    </w:p>
    <w:p w14:paraId="73628AE7">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21.1.1供应商可在</w:t>
      </w:r>
      <w:r>
        <w:rPr>
          <w:rFonts w:hint="eastAsia" w:asciiTheme="minorEastAsia" w:hAnsiTheme="minorEastAsia" w:eastAsiaTheme="minorEastAsia" w:cstheme="minorEastAsia"/>
          <w:bCs/>
          <w:sz w:val="24"/>
          <w:szCs w:val="24"/>
        </w:rPr>
        <w:t>提交响应文件</w:t>
      </w:r>
      <w:r>
        <w:rPr>
          <w:rFonts w:hint="eastAsia" w:asciiTheme="minorEastAsia" w:hAnsiTheme="minorEastAsia" w:eastAsiaTheme="minorEastAsia" w:cstheme="minorEastAsia"/>
          <w:sz w:val="24"/>
          <w:szCs w:val="24"/>
        </w:rPr>
        <w:t>截止时间前，撤回其响应文件。</w:t>
      </w:r>
    </w:p>
    <w:p w14:paraId="2677AEBD">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21.1.2供应商撤回响应文件，则认为其不再参与本项目谈判活动。</w:t>
      </w:r>
    </w:p>
    <w:p w14:paraId="5877550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21.2供应商可在</w:t>
      </w:r>
      <w:r>
        <w:rPr>
          <w:rFonts w:hint="eastAsia" w:asciiTheme="minorEastAsia" w:hAnsiTheme="minorEastAsia" w:eastAsiaTheme="minorEastAsia" w:cstheme="minorEastAsia"/>
          <w:bCs/>
          <w:sz w:val="24"/>
          <w:szCs w:val="24"/>
        </w:rPr>
        <w:t>提交响应文件</w:t>
      </w:r>
      <w:r>
        <w:rPr>
          <w:rFonts w:hint="eastAsia" w:asciiTheme="minorEastAsia" w:hAnsiTheme="minorEastAsia" w:eastAsiaTheme="minorEastAsia" w:cstheme="minorEastAsia"/>
          <w:sz w:val="24"/>
          <w:szCs w:val="24"/>
        </w:rPr>
        <w:t>截止时间前，对其响应文件进行修改。</w:t>
      </w:r>
    </w:p>
    <w:p w14:paraId="75053173">
      <w:pPr>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21.3</w:t>
      </w:r>
      <w:r>
        <w:rPr>
          <w:rFonts w:hint="eastAsia" w:asciiTheme="minorEastAsia" w:hAnsiTheme="minorEastAsia" w:eastAsiaTheme="minorEastAsia" w:cstheme="minorEastAsia"/>
          <w:bCs/>
          <w:sz w:val="24"/>
          <w:szCs w:val="24"/>
        </w:rPr>
        <w:t xml:space="preserve"> 在提交响应文件截止时间之后，供应商不得对其响应文件作任何修改。</w:t>
      </w:r>
    </w:p>
    <w:p w14:paraId="6346EF0D">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w:t>
      </w:r>
      <w:r>
        <w:rPr>
          <w:rFonts w:hint="eastAsia" w:asciiTheme="minorEastAsia" w:hAnsiTheme="minorEastAsia" w:eastAsiaTheme="minorEastAsia" w:cstheme="minorEastAsia"/>
          <w:bCs/>
          <w:sz w:val="24"/>
          <w:szCs w:val="24"/>
        </w:rPr>
        <w:t xml:space="preserve"> 在提交响应文件截止时间至单一来源谈判文件中规定的单一来源谈判文件有效期满之间的这段时间内，供应商不得撤回其响应文件。</w:t>
      </w:r>
    </w:p>
    <w:p w14:paraId="334DC3AE">
      <w:pPr>
        <w:rPr>
          <w:rFonts w:asciiTheme="minorEastAsia" w:hAnsiTheme="minorEastAsia" w:eastAsiaTheme="minorEastAsia" w:cstheme="minorEastAsia"/>
          <w:b/>
          <w:bCs/>
          <w:sz w:val="24"/>
          <w:szCs w:val="24"/>
        </w:rPr>
      </w:pPr>
      <w:bookmarkStart w:id="115" w:name="_Toc16938545"/>
      <w:bookmarkStart w:id="116" w:name="_Toc513029229"/>
      <w:bookmarkStart w:id="117" w:name="_Toc120614218"/>
      <w:bookmarkStart w:id="118" w:name="_Toc20823301"/>
      <w:r>
        <w:rPr>
          <w:rFonts w:hint="eastAsia" w:asciiTheme="minorEastAsia" w:hAnsiTheme="minorEastAsia" w:eastAsiaTheme="minorEastAsia" w:cstheme="minorEastAsia"/>
          <w:b/>
          <w:bCs/>
          <w:sz w:val="24"/>
          <w:szCs w:val="24"/>
        </w:rPr>
        <w:t>五、</w:t>
      </w:r>
      <w:bookmarkEnd w:id="115"/>
      <w:bookmarkEnd w:id="116"/>
      <w:bookmarkEnd w:id="117"/>
      <w:bookmarkEnd w:id="118"/>
      <w:r>
        <w:rPr>
          <w:rFonts w:hint="eastAsia" w:asciiTheme="minorEastAsia" w:hAnsiTheme="minorEastAsia" w:eastAsiaTheme="minorEastAsia" w:cstheme="minorEastAsia"/>
          <w:b/>
          <w:bCs/>
          <w:sz w:val="24"/>
          <w:szCs w:val="24"/>
        </w:rPr>
        <w:t>评审与单一来源谈判</w:t>
      </w:r>
    </w:p>
    <w:p w14:paraId="4958AAA6">
      <w:pPr>
        <w:pStyle w:val="2"/>
        <w:spacing w:before="0" w:after="0" w:line="240" w:lineRule="auto"/>
        <w:rPr>
          <w:rFonts w:asciiTheme="minorEastAsia" w:hAnsiTheme="minorEastAsia" w:eastAsiaTheme="minorEastAsia" w:cstheme="minorEastAsia"/>
          <w:b w:val="0"/>
          <w:bCs w:val="0"/>
          <w:sz w:val="24"/>
          <w:szCs w:val="24"/>
        </w:rPr>
      </w:pPr>
      <w:bookmarkStart w:id="119" w:name="_Toc16938546"/>
      <w:bookmarkStart w:id="120" w:name="_Toc513029230"/>
      <w:bookmarkStart w:id="121" w:name="_Toc20823302"/>
      <w:r>
        <w:rPr>
          <w:rFonts w:hint="eastAsia" w:asciiTheme="minorEastAsia" w:hAnsiTheme="minorEastAsia" w:eastAsiaTheme="minorEastAsia" w:cstheme="minorEastAsia"/>
          <w:b w:val="0"/>
          <w:bCs w:val="0"/>
          <w:sz w:val="24"/>
          <w:szCs w:val="24"/>
        </w:rPr>
        <w:t>22、</w:t>
      </w:r>
      <w:bookmarkEnd w:id="119"/>
      <w:bookmarkEnd w:id="120"/>
      <w:bookmarkEnd w:id="121"/>
      <w:r>
        <w:rPr>
          <w:rFonts w:hint="eastAsia" w:asciiTheme="minorEastAsia" w:hAnsiTheme="minorEastAsia" w:eastAsiaTheme="minorEastAsia" w:cstheme="minorEastAsia"/>
          <w:b w:val="0"/>
          <w:bCs w:val="0"/>
          <w:sz w:val="24"/>
          <w:szCs w:val="24"/>
        </w:rPr>
        <w:t>单一来源谈判协商</w:t>
      </w:r>
    </w:p>
    <w:p w14:paraId="6997843C">
      <w:pPr>
        <w:ind w:firstLine="48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22.1 </w:t>
      </w:r>
      <w:r>
        <w:rPr>
          <w:rFonts w:hint="eastAsia" w:asciiTheme="minorEastAsia" w:hAnsiTheme="minorEastAsia" w:eastAsiaTheme="minorEastAsia" w:cstheme="minorEastAsia"/>
          <w:bCs/>
          <w:sz w:val="24"/>
          <w:szCs w:val="24"/>
        </w:rPr>
        <w:t>采购人将在</w:t>
      </w:r>
      <w:r>
        <w:rPr>
          <w:rFonts w:hint="eastAsia" w:asciiTheme="minorEastAsia" w:hAnsiTheme="minorEastAsia" w:eastAsiaTheme="minorEastAsia" w:cstheme="minorEastAsia"/>
          <w:sz w:val="24"/>
          <w:szCs w:val="24"/>
        </w:rPr>
        <w:t>单一来源采购邀请中规定的</w:t>
      </w:r>
      <w:r>
        <w:rPr>
          <w:rFonts w:hint="eastAsia" w:asciiTheme="minorEastAsia" w:hAnsiTheme="minorEastAsia" w:eastAsiaTheme="minorEastAsia" w:cstheme="minorEastAsia"/>
          <w:bCs/>
          <w:sz w:val="24"/>
          <w:szCs w:val="24"/>
        </w:rPr>
        <w:t>时间组织单一来源谈判小组与供应商单一来源谈判协商采购标的的价格、质量、服务等</w:t>
      </w:r>
      <w:r>
        <w:rPr>
          <w:rFonts w:hint="eastAsia" w:asciiTheme="minorEastAsia" w:hAnsiTheme="minorEastAsia" w:eastAsiaTheme="minorEastAsia" w:cstheme="minorEastAsia"/>
          <w:sz w:val="24"/>
          <w:szCs w:val="24"/>
        </w:rPr>
        <w:t>，在单一来源谈判协商期间供应商的授权代表应保证通讯设备和网络的畅通，并按</w:t>
      </w:r>
      <w:r>
        <w:rPr>
          <w:rFonts w:hint="eastAsia" w:asciiTheme="minorEastAsia" w:hAnsiTheme="minorEastAsia" w:eastAsiaTheme="minorEastAsia" w:cstheme="minorEastAsia"/>
          <w:bCs/>
          <w:sz w:val="24"/>
          <w:szCs w:val="24"/>
        </w:rPr>
        <w:t>单一来源谈判小组通知的时间和格式完成报价</w:t>
      </w:r>
      <w:r>
        <w:rPr>
          <w:rFonts w:hint="eastAsia" w:asciiTheme="minorEastAsia" w:hAnsiTheme="minorEastAsia" w:eastAsiaTheme="minorEastAsia" w:cstheme="minorEastAsia"/>
          <w:sz w:val="24"/>
          <w:szCs w:val="24"/>
        </w:rPr>
        <w:t>（最终总报价或可能的中间报价）</w:t>
      </w:r>
      <w:r>
        <w:rPr>
          <w:rFonts w:hint="eastAsia" w:asciiTheme="minorEastAsia" w:hAnsiTheme="minorEastAsia" w:eastAsiaTheme="minorEastAsia" w:cstheme="minorEastAsia"/>
          <w:bCs/>
          <w:sz w:val="24"/>
          <w:szCs w:val="24"/>
        </w:rPr>
        <w:t>和承诺，</w:t>
      </w:r>
      <w:r>
        <w:rPr>
          <w:rFonts w:hint="eastAsia" w:asciiTheme="minorEastAsia" w:hAnsiTheme="minorEastAsia" w:eastAsiaTheme="minorEastAsia" w:cstheme="minorEastAsia"/>
          <w:sz w:val="24"/>
          <w:szCs w:val="24"/>
        </w:rPr>
        <w:t>单一来源谈判承诺及报价均须由授权代表签字或法定代表人签字或盖公章，并作为单一来源谈判响应文件的补充部分。</w:t>
      </w:r>
    </w:p>
    <w:p w14:paraId="74B8DB25">
      <w:pPr>
        <w:pStyle w:val="2"/>
        <w:spacing w:before="0" w:after="0" w:line="240" w:lineRule="auto"/>
        <w:rPr>
          <w:rFonts w:asciiTheme="minorEastAsia" w:hAnsiTheme="minorEastAsia" w:eastAsiaTheme="minorEastAsia" w:cstheme="minorEastAsia"/>
          <w:b w:val="0"/>
          <w:bCs w:val="0"/>
          <w:sz w:val="24"/>
          <w:szCs w:val="24"/>
        </w:rPr>
      </w:pPr>
      <w:bookmarkStart w:id="122" w:name="_Toc16938547"/>
      <w:bookmarkStart w:id="123" w:name="_Toc513029231"/>
      <w:bookmarkStart w:id="124" w:name="_Toc20823303"/>
      <w:r>
        <w:rPr>
          <w:rFonts w:hint="eastAsia" w:asciiTheme="minorEastAsia" w:hAnsiTheme="minorEastAsia" w:eastAsiaTheme="minorEastAsia" w:cstheme="minorEastAsia"/>
          <w:b w:val="0"/>
          <w:bCs w:val="0"/>
          <w:sz w:val="24"/>
          <w:szCs w:val="24"/>
        </w:rPr>
        <w:t>23、单一来源谈判小组</w:t>
      </w:r>
    </w:p>
    <w:p w14:paraId="72BC031D">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23.1单一来源谈判小组由具有相关经验的专业人员组成。</w:t>
      </w:r>
    </w:p>
    <w:p w14:paraId="31D0664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23.2单一来源谈判小组应当按照客观、公正、审慎的原则评审供应商的单一来源谈判响应文件及与供应商单一来源谈判协商采购标的的价格服务等。</w:t>
      </w:r>
    </w:p>
    <w:p w14:paraId="22F147B4">
      <w:pPr>
        <w:pStyle w:val="2"/>
        <w:spacing w:before="0" w:after="0" w:line="240" w:lineRule="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24．单一来源谈判协商过程的保密</w:t>
      </w:r>
      <w:bookmarkEnd w:id="122"/>
      <w:bookmarkEnd w:id="123"/>
      <w:bookmarkEnd w:id="124"/>
      <w:r>
        <w:rPr>
          <w:rFonts w:hint="eastAsia" w:asciiTheme="minorEastAsia" w:hAnsiTheme="minorEastAsia" w:eastAsiaTheme="minorEastAsia" w:cstheme="minorEastAsia"/>
          <w:b w:val="0"/>
          <w:bCs w:val="0"/>
          <w:sz w:val="24"/>
          <w:szCs w:val="24"/>
        </w:rPr>
        <w:t>与公正</w:t>
      </w:r>
    </w:p>
    <w:p w14:paraId="1D5892E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24.1单一来源谈判小组、采购机构工作人员、相关监督人员等与评审工作有关的人员，对评审、单一来源谈判协商情况以及在评审、单一来源谈判协商过程中获悉的国家秘密、商业秘密负有保密责任。</w:t>
      </w:r>
    </w:p>
    <w:p w14:paraId="6A0902A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24.2在单一来源谈判协商过程中，如果供应商试图向采购人和参与单一来源谈判协商的人员施加任何影响，都将会导致其单一来源谈判响应文件被拒绝。</w:t>
      </w:r>
    </w:p>
    <w:p w14:paraId="76B6E2B4">
      <w:pPr>
        <w:pStyle w:val="2"/>
        <w:spacing w:before="0" w:after="0" w:line="240" w:lineRule="auto"/>
        <w:rPr>
          <w:rFonts w:asciiTheme="minorEastAsia" w:hAnsiTheme="minorEastAsia" w:eastAsiaTheme="minorEastAsia" w:cstheme="minorEastAsia"/>
          <w:b w:val="0"/>
          <w:bCs w:val="0"/>
          <w:sz w:val="24"/>
          <w:szCs w:val="24"/>
        </w:rPr>
      </w:pPr>
      <w:bookmarkStart w:id="125" w:name="_Toc16938548"/>
      <w:bookmarkStart w:id="126" w:name="_Toc20823304"/>
      <w:bookmarkStart w:id="127" w:name="_Toc513029232"/>
      <w:r>
        <w:rPr>
          <w:rFonts w:hint="eastAsia" w:asciiTheme="minorEastAsia" w:hAnsiTheme="minorEastAsia" w:eastAsiaTheme="minorEastAsia" w:cstheme="minorEastAsia"/>
          <w:b w:val="0"/>
          <w:bCs w:val="0"/>
          <w:sz w:val="24"/>
          <w:szCs w:val="24"/>
        </w:rPr>
        <w:t>25．评审过程的澄清</w:t>
      </w:r>
      <w:bookmarkEnd w:id="125"/>
      <w:bookmarkEnd w:id="126"/>
      <w:bookmarkEnd w:id="127"/>
    </w:p>
    <w:p w14:paraId="61241C2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25.1单一来源谈判响应文件评审期间，为有助于对单一来源谈判响应文件的审查、评价和比较，单一来源谈判小组有权要求供应商对其单一来源谈判响应文件进行澄清。</w:t>
      </w:r>
    </w:p>
    <w:p w14:paraId="4158313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接到单一来源谈判小组澄清要求的供应商应派授权代表按单一来源谈判小组通知的时间和格式做出澄清，澄清的内容须由授权代表签字或盖公章，并作为单一来源谈判响应文件的补充部分，但相关实质性的内容不得做任何更改。</w:t>
      </w:r>
    </w:p>
    <w:p w14:paraId="6F652E9F">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 接到单一来源谈判小组澄清要求的供应商如未按规定做出澄清，其风险由供应商自行承担。</w:t>
      </w:r>
    </w:p>
    <w:p w14:paraId="17BA7E94">
      <w:pPr>
        <w:pStyle w:val="2"/>
        <w:spacing w:before="0" w:after="0" w:line="240" w:lineRule="auto"/>
        <w:rPr>
          <w:rFonts w:asciiTheme="minorEastAsia" w:hAnsiTheme="minorEastAsia" w:eastAsiaTheme="minorEastAsia" w:cstheme="minorEastAsia"/>
          <w:b w:val="0"/>
          <w:bCs w:val="0"/>
          <w:sz w:val="24"/>
          <w:szCs w:val="24"/>
        </w:rPr>
      </w:pPr>
      <w:bookmarkStart w:id="128" w:name="_Toc16938549"/>
      <w:bookmarkStart w:id="129" w:name="_Toc20823305"/>
      <w:bookmarkStart w:id="130" w:name="_Toc513029233"/>
      <w:r>
        <w:rPr>
          <w:rFonts w:hint="eastAsia" w:asciiTheme="minorEastAsia" w:hAnsiTheme="minorEastAsia" w:eastAsiaTheme="minorEastAsia" w:cstheme="minorEastAsia"/>
          <w:b w:val="0"/>
          <w:bCs w:val="0"/>
          <w:sz w:val="24"/>
          <w:szCs w:val="24"/>
        </w:rPr>
        <w:t>26、对单一来源谈判响应文件的评审</w:t>
      </w:r>
      <w:bookmarkEnd w:id="128"/>
      <w:bookmarkEnd w:id="129"/>
      <w:bookmarkEnd w:id="130"/>
    </w:p>
    <w:p w14:paraId="6896AE2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26.1单一来源谈判响应文件评审分为资格性检查和符合性检查。</w:t>
      </w:r>
    </w:p>
    <w:p w14:paraId="77A33B4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资格性检查：依据法律法规和谈判采购文件的规定，采购人或采购人对单一来源谈判响应文件中的资格证明文件等进行审查，以确定供应商是否具备参加单一来源谈判的资格。</w:t>
      </w:r>
    </w:p>
    <w:p w14:paraId="4C26B07E">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符合性检查：依据谈判采购文件的规定，单一来源谈判小组从单一来源谈判响应文件的有效性、完整性和对谈判采购文件的响应程度进行审查，以确定是否对谈判采购文件的实质性要求作出响应。</w:t>
      </w:r>
    </w:p>
    <w:p w14:paraId="034DC28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在正式单一来源谈判之前，单一来源谈判小组将首先审查单一来源谈判响应文件是否实质性响应了谈判采购文件的要求。实质性响应的单一来源谈判响应文件应该是与谈判采购文件要求的全部条款、条件和规格相符，没有重大偏离或保留。</w:t>
      </w:r>
    </w:p>
    <w:p w14:paraId="592D102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谓重大偏离或保留是指与谈判采购文件规定的实质性要求存在负偏离，或者在实质上与谈判采购文件不一致，而且限制了合同中买方和采购人的权利或供应商的义务，纠正这些偏离或保留将会对其他实质性响应要求的供应商的竞争地位产生不公正的影响。重大偏离的认定需经过单一来源谈判小组三分二及以上成员的认定。单一来源谈判小组决定单一来源谈判响应文件的响应性只根据单一来源谈判响应文件本身的内容，而不寻求外部的证据。</w:t>
      </w:r>
    </w:p>
    <w:p w14:paraId="30D0C6B1">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 被认定为非响应性的单一来源谈判响应文件的情形</w:t>
      </w:r>
    </w:p>
    <w:p w14:paraId="546332B7">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未按照谈判采购文件规定要求递交谈判响应文件、盖章；</w:t>
      </w:r>
    </w:p>
    <w:p w14:paraId="7C9D7C1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供应商在报价时采用选择性报价；</w:t>
      </w:r>
    </w:p>
    <w:p w14:paraId="40AE1728">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供应商不具备谈判采购文件中规定资格要求的；</w:t>
      </w:r>
    </w:p>
    <w:p w14:paraId="71BB382A">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不符合法律、法规和谈判采购文件中规定的其他实质性要求的</w:t>
      </w:r>
    </w:p>
    <w:p w14:paraId="36668CE8">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其他法律、法规及本谈判采购文件规定的属非响应性的单一来源谈判响应文件的情形。</w:t>
      </w:r>
    </w:p>
    <w:p w14:paraId="17387E9E">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信用中国”网站（www.creditchina.gov.cn）查询信用记录，未被列入失信被执行人、重大税收违法案件当事人名单、政府采购严重失信行为记录名单及未发现存在不符合《中华人民共和国政府采购法》第二十二条规定条件的情形；</w:t>
      </w:r>
    </w:p>
    <w:p w14:paraId="6D5E412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26.4 如果单一来源谈判响应文件实质上没有响应谈判采购文件的要求，单一来源谈判小组将予以拒绝。</w:t>
      </w:r>
    </w:p>
    <w:p w14:paraId="53F723A7">
      <w:pPr>
        <w:pStyle w:val="2"/>
        <w:spacing w:before="0" w:after="0" w:line="240" w:lineRule="auto"/>
        <w:rPr>
          <w:rFonts w:asciiTheme="minorEastAsia" w:hAnsiTheme="minorEastAsia" w:eastAsiaTheme="minorEastAsia" w:cstheme="minorEastAsia"/>
          <w:b w:val="0"/>
          <w:bCs w:val="0"/>
          <w:sz w:val="24"/>
          <w:szCs w:val="24"/>
        </w:rPr>
      </w:pPr>
      <w:bookmarkStart w:id="131" w:name="_Toc20823306"/>
      <w:bookmarkStart w:id="132" w:name="_Toc16938550"/>
      <w:bookmarkStart w:id="133" w:name="_Toc513029234"/>
      <w:r>
        <w:rPr>
          <w:rFonts w:hint="eastAsia" w:asciiTheme="minorEastAsia" w:hAnsiTheme="minorEastAsia" w:eastAsiaTheme="minorEastAsia" w:cstheme="minorEastAsia"/>
          <w:b w:val="0"/>
          <w:bCs w:val="0"/>
          <w:sz w:val="24"/>
          <w:szCs w:val="24"/>
        </w:rPr>
        <w:t>27、</w:t>
      </w:r>
      <w:bookmarkEnd w:id="131"/>
      <w:bookmarkEnd w:id="132"/>
      <w:bookmarkEnd w:id="133"/>
      <w:r>
        <w:rPr>
          <w:rFonts w:hint="eastAsia" w:asciiTheme="minorEastAsia" w:hAnsiTheme="minorEastAsia" w:eastAsiaTheme="minorEastAsia" w:cstheme="minorEastAsia"/>
          <w:b w:val="0"/>
          <w:bCs w:val="0"/>
          <w:sz w:val="24"/>
          <w:szCs w:val="24"/>
        </w:rPr>
        <w:t>单一来源谈判协商及成交原则</w:t>
      </w:r>
    </w:p>
    <w:p w14:paraId="4B1FA272">
      <w:pPr>
        <w:ind w:firstLine="482"/>
        <w:rPr>
          <w:rFonts w:asciiTheme="minorEastAsia" w:hAnsiTheme="minorEastAsia" w:eastAsiaTheme="minorEastAsia" w:cstheme="minorEastAsia"/>
          <w:sz w:val="24"/>
          <w:szCs w:val="24"/>
        </w:rPr>
      </w:pPr>
      <w:bookmarkStart w:id="134" w:name="_Toc16938551"/>
      <w:bookmarkStart w:id="135" w:name="_Toc20823307"/>
      <w:bookmarkStart w:id="136" w:name="_Toc513029235"/>
      <w:r>
        <w:rPr>
          <w:rFonts w:hint="eastAsia" w:asciiTheme="minorEastAsia" w:hAnsiTheme="minorEastAsia" w:eastAsiaTheme="minorEastAsia" w:cstheme="minorEastAsia"/>
          <w:sz w:val="24"/>
          <w:szCs w:val="24"/>
        </w:rPr>
        <w:t>27.1单一来源谈判协商</w:t>
      </w:r>
    </w:p>
    <w:p w14:paraId="17A7D505">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27.1.1 对于通过资格性和符合性审查的供应商，单一来源谈判小组将与其就采购标的的价格服务等进行单一来源谈判协商。</w:t>
      </w:r>
    </w:p>
    <w:p w14:paraId="1CA3DFFC">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27.1.2 参加单一来源谈判的供应商应当现场对单一来源谈判协商中做出的承诺与澄清进行确认，并在单一来源谈判小组规定的时间内完成报价（最终总报价或可能的中间报价）。单一来源谈判承诺及报价均须由授权代表签字或法定代表人签字或盖公章。</w:t>
      </w:r>
    </w:p>
    <w:p w14:paraId="55D47EBE">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27.1.3 供应商最终总报价在响应产品数量没有增加，配置、服务没有重大提高的情况下，</w:t>
      </w:r>
      <w:r>
        <w:rPr>
          <w:rFonts w:hint="eastAsia" w:asciiTheme="minorEastAsia" w:hAnsiTheme="minorEastAsia" w:eastAsiaTheme="minorEastAsia" w:cstheme="minorEastAsia"/>
          <w:sz w:val="24"/>
          <w:szCs w:val="24"/>
          <w:u w:val="single"/>
        </w:rPr>
        <w:t>一般不允许高于第一次报价</w:t>
      </w:r>
      <w:r>
        <w:rPr>
          <w:rFonts w:hint="eastAsia" w:asciiTheme="minorEastAsia" w:hAnsiTheme="minorEastAsia" w:eastAsiaTheme="minorEastAsia" w:cstheme="minorEastAsia"/>
          <w:sz w:val="24"/>
          <w:szCs w:val="24"/>
        </w:rPr>
        <w:t>（即单一来源谈判响应文件配置与分项报价表中的报价）。否则，单一来源谈判小组有权拒绝该单一来源谈判报价并不再给予报价补救机会。</w:t>
      </w:r>
    </w:p>
    <w:p w14:paraId="540F21B4">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27.1.4 </w:t>
      </w:r>
      <w:r>
        <w:rPr>
          <w:rFonts w:hint="eastAsia" w:asciiTheme="minorEastAsia" w:hAnsiTheme="minorEastAsia" w:eastAsiaTheme="minorEastAsia" w:cstheme="minorEastAsia"/>
          <w:bCs/>
          <w:sz w:val="24"/>
          <w:szCs w:val="24"/>
        </w:rPr>
        <w:t>经谈判后，如果成交价低于供应商在谈判响应文件报价的话，除特别注明外，分项报价同比例调整。</w:t>
      </w:r>
    </w:p>
    <w:p w14:paraId="638CD8B2">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27.2单一来源谈判协商成交原则</w:t>
      </w:r>
    </w:p>
    <w:p w14:paraId="2D620A7E">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27.2.1单一来源谈判小组根据政府采购相关法律、规章的规定，在供应商的单一来源谈判响应能保证采购项目质量且最终报价合理的基础上确定其为成交供应商。</w:t>
      </w:r>
    </w:p>
    <w:p w14:paraId="253957D8">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27.2.3单一来源谈判终止情形处理</w:t>
      </w:r>
    </w:p>
    <w:p w14:paraId="23EBCBAB">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出现下列情形之一的，采购人将终止采购活动，发布项目终止公告并说明原因，重新开展采购活动：</w:t>
      </w:r>
    </w:p>
    <w:p w14:paraId="27F11C90">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（一）因情况变化，不再符合规定的单一来源采购方式适用情形的；</w:t>
      </w:r>
    </w:p>
    <w:p w14:paraId="67E1980D">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（二）出现影响采购公正的违法、违规行为的；</w:t>
      </w:r>
    </w:p>
    <w:p w14:paraId="54931F76">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（三）至单一来源谈判小组规定的单一来源谈判截止时间，供应商报价超过采购预算的；</w:t>
      </w:r>
    </w:p>
    <w:p w14:paraId="2B2ACB8F">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（四）至单一来源谈判小组规定的单一来源谈判截止时间，供应商的最终报价、技术方案、服务承诺、商务条款等不能满足采购人或单一来源谈判小组的要求；</w:t>
      </w:r>
    </w:p>
    <w:p w14:paraId="23CFF0B0">
      <w:pPr>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（五）法律、法规、规章规定的其他应当终止的情形。</w:t>
      </w:r>
    </w:p>
    <w:p w14:paraId="7B514B34">
      <w:pPr>
        <w:rPr>
          <w:rFonts w:asciiTheme="minorEastAsia" w:hAnsiTheme="minorEastAsia" w:eastAsiaTheme="minorEastAsia" w:cstheme="minorEastAsia"/>
          <w:b/>
          <w:bCs/>
          <w:sz w:val="24"/>
          <w:szCs w:val="24"/>
        </w:rPr>
      </w:pPr>
      <w:bookmarkStart w:id="137" w:name="_Toc120614219"/>
      <w:r>
        <w:rPr>
          <w:rFonts w:hint="eastAsia" w:asciiTheme="minorEastAsia" w:hAnsiTheme="minorEastAsia" w:eastAsiaTheme="minorEastAsia" w:cstheme="minorEastAsia"/>
          <w:b/>
          <w:bCs/>
          <w:sz w:val="24"/>
          <w:szCs w:val="24"/>
        </w:rPr>
        <w:t>六、</w:t>
      </w:r>
      <w:bookmarkEnd w:id="134"/>
      <w:bookmarkEnd w:id="135"/>
      <w:bookmarkEnd w:id="136"/>
      <w:bookmarkEnd w:id="137"/>
      <w:r>
        <w:rPr>
          <w:rFonts w:hint="eastAsia" w:asciiTheme="minorEastAsia" w:hAnsiTheme="minorEastAsia" w:eastAsiaTheme="minorEastAsia" w:cstheme="minorEastAsia"/>
          <w:b/>
          <w:bCs/>
          <w:sz w:val="24"/>
          <w:szCs w:val="24"/>
        </w:rPr>
        <w:t>成交</w:t>
      </w:r>
    </w:p>
    <w:p w14:paraId="78BEFDBA">
      <w:pPr>
        <w:pStyle w:val="2"/>
        <w:spacing w:before="0" w:after="0" w:line="240" w:lineRule="auto"/>
        <w:rPr>
          <w:rFonts w:asciiTheme="minorEastAsia" w:hAnsiTheme="minorEastAsia" w:eastAsiaTheme="minorEastAsia" w:cstheme="minorEastAsia"/>
          <w:b w:val="0"/>
          <w:sz w:val="24"/>
          <w:szCs w:val="24"/>
        </w:rPr>
      </w:pPr>
      <w:bookmarkStart w:id="138" w:name="_Toc513029238"/>
      <w:bookmarkStart w:id="139" w:name="_Toc16938554"/>
      <w:bookmarkStart w:id="140" w:name="_Toc20823310"/>
      <w:r>
        <w:rPr>
          <w:rFonts w:hint="eastAsia" w:asciiTheme="minorEastAsia" w:hAnsiTheme="minorEastAsia" w:eastAsiaTheme="minorEastAsia" w:cstheme="minorEastAsia"/>
          <w:b w:val="0"/>
          <w:sz w:val="24"/>
          <w:szCs w:val="24"/>
        </w:rPr>
        <w:t>28、</w:t>
      </w:r>
      <w:bookmarkEnd w:id="138"/>
      <w:r>
        <w:rPr>
          <w:rFonts w:hint="eastAsia" w:asciiTheme="minorEastAsia" w:hAnsiTheme="minorEastAsia" w:eastAsiaTheme="minorEastAsia" w:cstheme="minorEastAsia"/>
          <w:b w:val="0"/>
          <w:sz w:val="24"/>
          <w:szCs w:val="24"/>
        </w:rPr>
        <w:t>确定</w:t>
      </w:r>
      <w:bookmarkEnd w:id="139"/>
      <w:bookmarkEnd w:id="140"/>
      <w:r>
        <w:rPr>
          <w:rFonts w:hint="eastAsia" w:asciiTheme="minorEastAsia" w:hAnsiTheme="minorEastAsia" w:eastAsiaTheme="minorEastAsia" w:cstheme="minorEastAsia"/>
          <w:b w:val="0"/>
          <w:sz w:val="24"/>
          <w:szCs w:val="24"/>
        </w:rPr>
        <w:t>成交单位</w:t>
      </w:r>
    </w:p>
    <w:p w14:paraId="5218C1E1">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28.1单一来源谈判小组根据单一来源谈判协商情况编写协商情况记录，推荐成交候选人。</w:t>
      </w:r>
    </w:p>
    <w:p w14:paraId="1AD2B19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 采购人根据单一来源谈判小组推荐的成交候选人确定成交供应商。</w:t>
      </w:r>
    </w:p>
    <w:p w14:paraId="1FF3304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28.3若有充分证据证明，成交供应商出现下列情况之一的，一经查实，将被取消成交资格：</w:t>
      </w:r>
    </w:p>
    <w:p w14:paraId="4F8F6EB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（1）提供虚假材料谋取成交的；</w:t>
      </w:r>
    </w:p>
    <w:p w14:paraId="4C96CC9A">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（2）与评审专家、采购人、其他供应商或者采购人工作人员恶意串通的；</w:t>
      </w:r>
    </w:p>
    <w:p w14:paraId="5034084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（3）向评审专家、采购人或采购人工作人员行贿或者提供其他不正当利益的；</w:t>
      </w:r>
    </w:p>
    <w:p w14:paraId="772EB846">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（4）不满足本谈判采购文件规定的实质性要求，但在评审过程中又未被单一来源谈判小组发现的；</w:t>
      </w:r>
    </w:p>
    <w:p w14:paraId="56605AE0">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（5）不符合法律、法规的规定的其他情形。</w:t>
      </w:r>
      <w:bookmarkStart w:id="141" w:name="_Toc200451960"/>
    </w:p>
    <w:p w14:paraId="498B308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供应商被取消成交资格后，采购人有权重新组织采购。</w:t>
      </w:r>
    </w:p>
    <w:p w14:paraId="7BD23748">
      <w:pPr>
        <w:pStyle w:val="2"/>
        <w:spacing w:before="0" w:after="0" w:line="240" w:lineRule="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29、质疑处理</w:t>
      </w:r>
      <w:bookmarkEnd w:id="141"/>
    </w:p>
    <w:p w14:paraId="4A9FCFD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29.1参加单一来源谈判的供应商认为采购过程和采购结果使自己的权益受到损害的，可以从采购结果公布之日起七个工作日内，以书面形式向采购人提出质疑。非书面形式、七个工作日之外提交以及匿名的质疑将不予受理 。</w:t>
      </w:r>
    </w:p>
    <w:p w14:paraId="6FF59A0F">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供应商提出质疑应当提交质疑函和必要的证明材料。质疑函须按照中国政府采购网（http://www.ccgp.gov.cn/）提供的质疑函范本要求的格式和内容进行填写。供应商如组成联合体参加投标，则要求签字、盖章、加盖公章之处，联合体各方均须按要求签字、盖章、加盖公章。</w:t>
      </w:r>
    </w:p>
    <w:p w14:paraId="3C2436A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投标人为自然人的，应当由本人签字；投标人为法人或者其他组织的，应当由法定代表人、主要负责人，或者其授权代表签字或者盖章，并加盖公章。</w:t>
      </w:r>
    </w:p>
    <w:p w14:paraId="54523CD3">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29.3未参加单一来源谈判的供应商或在单一来源谈判采购中本身权益未受到损害或从单一来源谈判采购中收益的供应商所提出的质疑也不予受理。</w:t>
      </w:r>
    </w:p>
    <w:p w14:paraId="71F44A68">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29.4采购人将在收到供应商的书面质疑后七个工作日内作出答复，并以书面形式通知质疑供应商和其他有关供应商，但答复的内容不得涉及商业秘密。</w:t>
      </w:r>
    </w:p>
    <w:p w14:paraId="43D77D3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29.5供应商提出书面质疑应当有明确的请求和必要的证明材料，不得恶意质疑或提交虚假质疑。否则，一经查实，采购人有权依据政府采购的有关规定，报请政府采购监管部门对该供应商进行相应的行政处罚。</w:t>
      </w:r>
    </w:p>
    <w:p w14:paraId="3CEC073E">
      <w:pPr>
        <w:pStyle w:val="2"/>
        <w:spacing w:before="0" w:after="0" w:line="240" w:lineRule="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30、成交通知书</w:t>
      </w:r>
    </w:p>
    <w:p w14:paraId="45DEA1F3">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30.l成交结果经采购人确定后，采购人将向成交供应商发出成交通知书。</w:t>
      </w:r>
    </w:p>
    <w:p w14:paraId="08F7CB9C">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30.2成交通知书将是合同的一个组成部分。对采购人和成交供应商均具有法律效力。成交通知书发出后，采购人改变成交结果的，或者成交供应商放弃成交项目的，应当依法承担法律责任。</w:t>
      </w:r>
    </w:p>
    <w:p w14:paraId="254ADB77">
      <w:pPr>
        <w:rPr>
          <w:rFonts w:asciiTheme="minorEastAsia" w:hAnsiTheme="minorEastAsia" w:eastAsiaTheme="minorEastAsia" w:cstheme="minorEastAsia"/>
          <w:b/>
          <w:bCs/>
          <w:sz w:val="24"/>
          <w:szCs w:val="24"/>
        </w:rPr>
      </w:pPr>
      <w:bookmarkStart w:id="142" w:name="_Toc120614220"/>
      <w:bookmarkStart w:id="143" w:name="_Toc20823308"/>
      <w:bookmarkStart w:id="144" w:name="_Toc513029236"/>
      <w:bookmarkStart w:id="145" w:name="_Toc16938552"/>
      <w:r>
        <w:rPr>
          <w:rFonts w:hint="eastAsia" w:asciiTheme="minorEastAsia" w:hAnsiTheme="minorEastAsia" w:eastAsiaTheme="minorEastAsia" w:cstheme="minorEastAsia"/>
          <w:b/>
          <w:bCs/>
          <w:sz w:val="24"/>
          <w:szCs w:val="24"/>
        </w:rPr>
        <w:t>七、授予合同</w:t>
      </w:r>
      <w:bookmarkEnd w:id="142"/>
    </w:p>
    <w:bookmarkEnd w:id="143"/>
    <w:bookmarkEnd w:id="144"/>
    <w:bookmarkEnd w:id="145"/>
    <w:p w14:paraId="43D23C1F">
      <w:pPr>
        <w:ind w:firstLine="480"/>
        <w:rPr>
          <w:rFonts w:asciiTheme="minorEastAsia" w:hAnsiTheme="minorEastAsia" w:eastAsiaTheme="minorEastAsia" w:cstheme="minorEastAsia"/>
          <w:sz w:val="24"/>
          <w:szCs w:val="24"/>
        </w:rPr>
      </w:pPr>
      <w:bookmarkStart w:id="146" w:name="_Toc513029237"/>
      <w:bookmarkStart w:id="147" w:name="_Toc16938553"/>
      <w:bookmarkStart w:id="148" w:name="_Toc20823309"/>
      <w:r>
        <w:rPr>
          <w:rFonts w:hint="eastAsia" w:asciiTheme="minorEastAsia" w:hAnsiTheme="minorEastAsia" w:eastAsiaTheme="minorEastAsia" w:cstheme="minorEastAsia"/>
          <w:sz w:val="24"/>
          <w:szCs w:val="24"/>
        </w:rPr>
        <w:t>31. 签订合同</w:t>
      </w:r>
    </w:p>
    <w:p w14:paraId="73594D9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l成交供应商应按成交通知书规定的时间、地点,按照谈判采购文件确定的事项与采购人签订政府采购合同，且不得迟于成交通知书发出之日起三十日内，否则由此给采购人造成损失的，成交供应商还应承担赔偿责任。</w:t>
      </w:r>
    </w:p>
    <w:p w14:paraId="4401D1D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 谈判采购文件、成交供应商的单一来源谈判响应文件及单一来源谈判采购过程中有关澄清、承诺文件均应作为合同附件。</w:t>
      </w:r>
    </w:p>
    <w:p w14:paraId="14DC5CC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146"/>
    <w:bookmarkEnd w:id="147"/>
    <w:bookmarkEnd w:id="148"/>
    <w:p w14:paraId="64DF39AB">
      <w:pPr>
        <w:pStyle w:val="3"/>
        <w:jc w:val="both"/>
        <w:rPr>
          <w:rFonts w:ascii="宋体" w:hAnsi="宋体" w:eastAsia="宋体"/>
          <w:bCs/>
          <w:sz w:val="24"/>
        </w:rPr>
      </w:pPr>
      <w:bookmarkStart w:id="149" w:name="_Toc513029242"/>
      <w:bookmarkStart w:id="150" w:name="_Toc16938558"/>
      <w:bookmarkStart w:id="151" w:name="_Toc20823314"/>
      <w:bookmarkStart w:id="152" w:name="_Toc120614221"/>
      <w:bookmarkStart w:id="153" w:name="_Toc479757207"/>
      <w:r>
        <w:rPr>
          <w:rFonts w:ascii="黑体" w:eastAsia="黑体"/>
          <w:bCs/>
          <w:sz w:val="44"/>
        </w:rPr>
        <w:br w:type="page"/>
      </w:r>
      <w:bookmarkEnd w:id="149"/>
      <w:bookmarkEnd w:id="150"/>
      <w:bookmarkEnd w:id="151"/>
      <w:bookmarkEnd w:id="152"/>
      <w:bookmarkEnd w:id="153"/>
      <w:bookmarkStart w:id="154" w:name="_Toc106807612"/>
      <w:bookmarkStart w:id="155" w:name="_Toc14708363"/>
      <w:bookmarkStart w:id="156" w:name="_Hlt16619350"/>
      <w:bookmarkStart w:id="157" w:name="_Toc20823346"/>
      <w:bookmarkStart w:id="158" w:name="_Toc120614244"/>
      <w:bookmarkStart w:id="159" w:name="_Toc16938590"/>
      <w:bookmarkStart w:id="160" w:name="_Toc462564139"/>
      <w:bookmarkStart w:id="161" w:name="_Toc479757211"/>
      <w:r>
        <w:rPr>
          <w:rFonts w:hint="eastAsia" w:ascii="黑体" w:eastAsia="黑体"/>
          <w:bCs/>
          <w:sz w:val="44"/>
        </w:rPr>
        <w:t xml:space="preserve">       </w:t>
      </w:r>
      <w:r>
        <w:rPr>
          <w:rFonts w:hint="eastAsia" w:ascii="黑体" w:eastAsia="黑体"/>
          <w:bCs/>
          <w:sz w:val="44"/>
          <w:szCs w:val="21"/>
        </w:rPr>
        <w:t>第三章  合同条款及格式</w:t>
      </w:r>
      <w:bookmarkEnd w:id="154"/>
      <w:bookmarkEnd w:id="155"/>
      <w:bookmarkStart w:id="162" w:name="_Hlk142338278"/>
      <w:r>
        <w:rPr>
          <w:rFonts w:hint="eastAsia" w:ascii="宋体" w:hAnsi="宋体" w:eastAsia="宋体"/>
          <w:bCs/>
          <w:sz w:val="24"/>
        </w:rPr>
        <w:t>（参考）</w:t>
      </w:r>
    </w:p>
    <w:p w14:paraId="62B441FD">
      <w:pPr>
        <w:pStyle w:val="3"/>
        <w:ind w:firstLine="480" w:firstLineChars="200"/>
        <w:jc w:val="both"/>
        <w:rPr>
          <w:rFonts w:ascii="宋体" w:hAnsi="宋体" w:eastAsia="宋体" w:cs="宋体"/>
          <w:sz w:val="24"/>
          <w:szCs w:val="24"/>
        </w:rPr>
      </w:pPr>
      <w:r>
        <w:rPr>
          <w:rFonts w:hint="eastAsia" w:ascii="宋体" w:hAnsi="宋体" w:eastAsia="宋体" w:cs="宋体"/>
          <w:sz w:val="24"/>
          <w:szCs w:val="24"/>
        </w:rPr>
        <w:t>根据《中华人民共和国政府采购法》、《中华人民共和国民法典》等有关规定，甲乙双方根据甲方   结果，</w:t>
      </w:r>
      <w:r>
        <w:rPr>
          <w:rFonts w:hint="eastAsia" w:ascii="宋体" w:hAnsi="宋体" w:eastAsia="宋体" w:cs="宋体"/>
          <w:color w:val="000000"/>
          <w:sz w:val="24"/>
          <w:szCs w:val="24"/>
          <w:lang w:bidi="ar"/>
        </w:rPr>
        <w:t xml:space="preserve">就南京市溧水区人民医院          </w:t>
      </w:r>
      <w:r>
        <w:rPr>
          <w:rFonts w:hint="eastAsia" w:ascii="宋体" w:hAnsi="宋体" w:eastAsia="宋体" w:cs="宋体"/>
          <w:sz w:val="24"/>
          <w:szCs w:val="24"/>
        </w:rPr>
        <w:t>系统维保</w:t>
      </w:r>
      <w:r>
        <w:rPr>
          <w:rFonts w:hint="eastAsia" w:ascii="宋体" w:hAnsi="宋体" w:eastAsia="宋体" w:cs="宋体"/>
          <w:color w:val="000000"/>
          <w:sz w:val="24"/>
          <w:szCs w:val="24"/>
          <w:lang w:bidi="ar"/>
        </w:rPr>
        <w:t>服务事宜</w:t>
      </w:r>
      <w:r>
        <w:rPr>
          <w:rFonts w:hint="eastAsia" w:ascii="宋体" w:hAnsi="宋体" w:eastAsia="宋体" w:cs="宋体"/>
          <w:sz w:val="24"/>
          <w:szCs w:val="24"/>
        </w:rPr>
        <w:t>订立本合同，承诺共同信守。</w:t>
      </w:r>
    </w:p>
    <w:p w14:paraId="38548431">
      <w:pPr>
        <w:rPr>
          <w:rFonts w:ascii="宋体" w:hAnsi="宋体" w:cs="宋体"/>
          <w:b/>
          <w:sz w:val="24"/>
          <w:szCs w:val="24"/>
        </w:rPr>
      </w:pPr>
      <w:r>
        <w:rPr>
          <w:rFonts w:hint="eastAsia" w:ascii="宋体" w:hAnsi="宋体" w:cs="宋体"/>
          <w:b/>
          <w:sz w:val="24"/>
          <w:szCs w:val="24"/>
          <w:lang w:bidi="ar"/>
        </w:rPr>
        <w:t>一、维保服务项目</w:t>
      </w:r>
    </w:p>
    <w:p w14:paraId="1D601A41">
      <w:pPr>
        <w:rPr>
          <w:rFonts w:ascii="宋体" w:hAnsi="宋体" w:cs="宋体"/>
          <w:sz w:val="24"/>
          <w:szCs w:val="24"/>
        </w:rPr>
      </w:pPr>
      <w:r>
        <w:rPr>
          <w:rFonts w:hint="eastAsia" w:ascii="宋体" w:hAnsi="宋体" w:cs="宋体"/>
          <w:sz w:val="24"/>
          <w:szCs w:val="24"/>
          <w:lang w:bidi="ar"/>
        </w:rPr>
        <w:t>1.维保系统名称：</w:t>
      </w:r>
    </w:p>
    <w:p w14:paraId="0ADBE9E9">
      <w:pPr>
        <w:rPr>
          <w:rFonts w:ascii="宋体" w:hAnsi="宋体" w:cs="宋体"/>
          <w:sz w:val="24"/>
          <w:szCs w:val="24"/>
          <w:lang w:bidi="ar"/>
        </w:rPr>
      </w:pPr>
      <w:r>
        <w:rPr>
          <w:rFonts w:hint="eastAsia" w:ascii="宋体" w:hAnsi="宋体" w:cs="宋体"/>
          <w:sz w:val="24"/>
          <w:szCs w:val="24"/>
          <w:lang w:bidi="ar"/>
        </w:rPr>
        <w:t>2.维保系统所在地：</w:t>
      </w:r>
    </w:p>
    <w:p w14:paraId="31A94F43">
      <w:pPr>
        <w:rPr>
          <w:rFonts w:ascii="宋体" w:hAnsi="宋体" w:cs="宋体"/>
          <w:sz w:val="24"/>
          <w:szCs w:val="24"/>
          <w:lang w:bidi="ar"/>
        </w:rPr>
      </w:pPr>
      <w:r>
        <w:rPr>
          <w:rFonts w:hint="eastAsia" w:ascii="宋体" w:hAnsi="宋体" w:cs="宋体"/>
          <w:sz w:val="24"/>
          <w:szCs w:val="24"/>
          <w:lang w:bidi="ar"/>
        </w:rPr>
        <w:t>3.维保期限</w:t>
      </w:r>
      <w:bookmarkEnd w:id="162"/>
      <w:bookmarkStart w:id="163" w:name="_Toc106807613"/>
      <w:r>
        <w:rPr>
          <w:rFonts w:hint="eastAsia" w:ascii="宋体" w:hAnsi="宋体" w:cs="宋体"/>
          <w:sz w:val="24"/>
          <w:szCs w:val="24"/>
          <w:lang w:bidi="ar"/>
        </w:rPr>
        <w:t>：</w:t>
      </w:r>
    </w:p>
    <w:p w14:paraId="475278FC">
      <w:pPr>
        <w:rPr>
          <w:rFonts w:ascii="宋体" w:hAnsi="宋体" w:cs="宋体"/>
          <w:b/>
          <w:sz w:val="24"/>
          <w:szCs w:val="24"/>
        </w:rPr>
      </w:pPr>
      <w:r>
        <w:rPr>
          <w:rFonts w:hint="eastAsia" w:ascii="宋体" w:hAnsi="宋体" w:cs="宋体"/>
          <w:b/>
          <w:sz w:val="24"/>
          <w:szCs w:val="24"/>
          <w:lang w:bidi="ar"/>
        </w:rPr>
        <w:t>二、服务内容</w:t>
      </w:r>
    </w:p>
    <w:p w14:paraId="41F82580">
      <w:pPr>
        <w:rPr>
          <w:rFonts w:ascii="宋体" w:hAnsi="宋体" w:cs="宋体"/>
          <w:b/>
          <w:sz w:val="24"/>
          <w:szCs w:val="24"/>
        </w:rPr>
      </w:pPr>
      <w:r>
        <w:rPr>
          <w:rFonts w:hint="eastAsia" w:ascii="宋体" w:hAnsi="宋体" w:cs="宋体"/>
          <w:sz w:val="24"/>
          <w:szCs w:val="24"/>
          <w:lang w:bidi="ar"/>
        </w:rPr>
        <w:t>1.服务内容</w:t>
      </w:r>
    </w:p>
    <w:p w14:paraId="67C3840D">
      <w:pPr>
        <w:rPr>
          <w:rFonts w:ascii="宋体" w:hAnsi="宋体" w:cs="微软雅黑"/>
          <w:b/>
          <w:sz w:val="24"/>
          <w:szCs w:val="24"/>
        </w:rPr>
      </w:pPr>
      <w:r>
        <w:rPr>
          <w:rFonts w:hint="eastAsia" w:ascii="宋体" w:hAnsi="宋体" w:cs="宋体"/>
          <w:b/>
          <w:sz w:val="24"/>
          <w:szCs w:val="24"/>
          <w:lang w:bidi="ar"/>
        </w:rPr>
        <w:t>三、甲乙双方权利义务</w:t>
      </w:r>
    </w:p>
    <w:p w14:paraId="52ADDDC8">
      <w:pPr>
        <w:ind w:firstLine="480" w:firstLineChars="200"/>
        <w:rPr>
          <w:rFonts w:ascii="宋体" w:hAnsi="宋体" w:cs="微软雅黑"/>
          <w:sz w:val="24"/>
          <w:szCs w:val="24"/>
        </w:rPr>
      </w:pPr>
      <w:r>
        <w:rPr>
          <w:rFonts w:hint="eastAsia" w:ascii="宋体" w:hAnsi="宋体" w:cs="微软雅黑"/>
          <w:sz w:val="24"/>
          <w:szCs w:val="24"/>
        </w:rPr>
        <w:t>甲方：1．为乙方维护服务提供相应的资源。2．按照合同约定如期支付乙方货款。3．甲方应确保有专人对软件的维护负责。4．甲方在乙方服务人员服务完成后，配合检查软件系统运行是否正常。</w:t>
      </w:r>
    </w:p>
    <w:p w14:paraId="7322338B">
      <w:pPr>
        <w:ind w:firstLine="480" w:firstLineChars="200"/>
        <w:rPr>
          <w:rFonts w:ascii="宋体" w:hAnsi="宋体" w:cs="微软雅黑"/>
          <w:sz w:val="24"/>
          <w:szCs w:val="24"/>
        </w:rPr>
      </w:pPr>
      <w:r>
        <w:rPr>
          <w:rFonts w:hint="eastAsia" w:ascii="宋体" w:hAnsi="宋体" w:cs="微软雅黑"/>
          <w:sz w:val="24"/>
          <w:szCs w:val="24"/>
        </w:rPr>
        <w:t>乙方：1. 按照“二、服务内容”的要求提供服务。2. 乙方有提醒甲方预防网络病毒、在维持原有系统基础上优化系统、协助甲方处理紧急事务的义务。乙方项目负责人：    ，联系电话：      。</w:t>
      </w:r>
    </w:p>
    <w:p w14:paraId="02205F4D">
      <w:pPr>
        <w:rPr>
          <w:rFonts w:ascii="宋体" w:hAnsi="宋体" w:cs="微软雅黑"/>
          <w:b/>
          <w:bCs/>
          <w:sz w:val="24"/>
          <w:szCs w:val="24"/>
        </w:rPr>
      </w:pPr>
      <w:r>
        <w:rPr>
          <w:rFonts w:hint="eastAsia" w:ascii="宋体" w:hAnsi="宋体" w:cs="微软雅黑"/>
          <w:b/>
          <w:bCs/>
          <w:sz w:val="24"/>
          <w:szCs w:val="24"/>
        </w:rPr>
        <w:t>四、合同总价款及付款方式</w:t>
      </w:r>
    </w:p>
    <w:p w14:paraId="2EF4AD91">
      <w:pPr>
        <w:ind w:firstLine="480" w:firstLineChars="200"/>
        <w:rPr>
          <w:rFonts w:ascii="宋体" w:hAnsi="宋体" w:cs="微软雅黑"/>
          <w:sz w:val="24"/>
          <w:szCs w:val="24"/>
        </w:rPr>
      </w:pPr>
      <w:r>
        <w:rPr>
          <w:rFonts w:hint="eastAsia" w:ascii="宋体" w:hAnsi="宋体" w:cs="微软雅黑"/>
          <w:sz w:val="24"/>
          <w:szCs w:val="24"/>
        </w:rPr>
        <w:t>1.本</w:t>
      </w:r>
      <w:r>
        <w:rPr>
          <w:rFonts w:ascii="宋体" w:hAnsi="宋体" w:cs="微软雅黑"/>
          <w:sz w:val="24"/>
          <w:szCs w:val="24"/>
        </w:rPr>
        <w:t>合同总价</w:t>
      </w:r>
      <w:r>
        <w:rPr>
          <w:rFonts w:hint="eastAsia" w:ascii="宋体" w:hAnsi="宋体" w:cs="微软雅黑"/>
          <w:sz w:val="24"/>
          <w:szCs w:val="24"/>
        </w:rPr>
        <w:t>款</w:t>
      </w:r>
      <w:r>
        <w:rPr>
          <w:rFonts w:ascii="宋体" w:hAnsi="宋体" w:cs="微软雅黑"/>
          <w:sz w:val="24"/>
          <w:szCs w:val="24"/>
        </w:rPr>
        <w:t>¥</w:t>
      </w:r>
      <w:r>
        <w:rPr>
          <w:rFonts w:hint="eastAsia" w:ascii="宋体" w:hAnsi="宋体" w:cs="微软雅黑"/>
          <w:sz w:val="24"/>
          <w:szCs w:val="24"/>
        </w:rPr>
        <w:t xml:space="preserve">     </w:t>
      </w:r>
      <w:r>
        <w:rPr>
          <w:rFonts w:ascii="宋体" w:hAnsi="宋体" w:cs="微软雅黑"/>
          <w:sz w:val="24"/>
          <w:szCs w:val="24"/>
        </w:rPr>
        <w:t>元</w:t>
      </w:r>
      <w:r>
        <w:rPr>
          <w:rFonts w:hint="eastAsia" w:ascii="宋体" w:hAnsi="宋体" w:cs="微软雅黑"/>
          <w:sz w:val="24"/>
          <w:szCs w:val="24"/>
        </w:rPr>
        <w:t>（大写：      元整）。</w:t>
      </w:r>
      <w:r>
        <w:rPr>
          <w:rFonts w:hint="eastAsia" w:ascii="宋体" w:hAnsi="宋体" w:cs="宋体"/>
          <w:sz w:val="24"/>
          <w:szCs w:val="24"/>
        </w:rPr>
        <w:t>本合同总价款包含服务期内乙方应承担的全部软件产品和系统等现场保修所付出的配件更换、技术、差旅、劳务、维护的往返运输等全部费用。甲方不再支付其他费用。</w:t>
      </w:r>
    </w:p>
    <w:p w14:paraId="7BB36E0A">
      <w:pPr>
        <w:ind w:firstLine="480" w:firstLineChars="200"/>
        <w:rPr>
          <w:rFonts w:ascii="宋体" w:hAnsi="宋体" w:cs="宋体"/>
          <w:sz w:val="24"/>
          <w:szCs w:val="24"/>
        </w:rPr>
      </w:pPr>
      <w:r>
        <w:rPr>
          <w:rFonts w:hint="eastAsia" w:ascii="宋体" w:hAnsi="宋体" w:cs="微软雅黑"/>
          <w:sz w:val="24"/>
          <w:szCs w:val="24"/>
        </w:rPr>
        <w:t>2.</w:t>
      </w:r>
      <w:r>
        <w:rPr>
          <w:rFonts w:hint="eastAsia" w:ascii="宋体" w:hAnsi="宋体" w:cs="宋体"/>
          <w:sz w:val="24"/>
          <w:szCs w:val="24"/>
        </w:rPr>
        <w:t>合同款支付：乙方开具符合国家规定的发票，根据乙方的服务情况，在服务期满后按甲方正常流程向乙方付全款。</w:t>
      </w:r>
    </w:p>
    <w:p w14:paraId="2D9168B9">
      <w:pPr>
        <w:rPr>
          <w:rFonts w:ascii="宋体" w:hAnsi="宋体" w:cs="宋体"/>
          <w:b/>
          <w:sz w:val="24"/>
          <w:szCs w:val="24"/>
        </w:rPr>
      </w:pPr>
      <w:r>
        <w:rPr>
          <w:rFonts w:hint="eastAsia" w:ascii="宋体" w:hAnsi="宋体" w:cs="宋体"/>
          <w:b/>
          <w:bCs/>
          <w:sz w:val="24"/>
          <w:szCs w:val="24"/>
        </w:rPr>
        <w:t>五、</w:t>
      </w:r>
      <w:r>
        <w:rPr>
          <w:rFonts w:hint="eastAsia" w:ascii="宋体" w:hAnsi="宋体" w:cs="宋体"/>
          <w:b/>
          <w:sz w:val="24"/>
          <w:szCs w:val="24"/>
          <w:lang w:bidi="ar"/>
        </w:rPr>
        <w:t>违约责任</w:t>
      </w:r>
    </w:p>
    <w:p w14:paraId="3E6B5B0C">
      <w:pPr>
        <w:ind w:firstLine="480" w:firstLineChars="200"/>
        <w:rPr>
          <w:rFonts w:ascii="宋体" w:hAnsi="宋体"/>
          <w:sz w:val="24"/>
          <w:szCs w:val="24"/>
        </w:rPr>
      </w:pPr>
      <w:r>
        <w:rPr>
          <w:rFonts w:hint="eastAsia" w:ascii="宋体" w:hAnsi="宋体"/>
          <w:sz w:val="24"/>
          <w:szCs w:val="24"/>
        </w:rPr>
        <w:t>1.维保服务期内如果因乙方原因造成未能按合同约定提供服务（含提供服务达不到合同要求），由此造成的损失由乙方承担。2.乙方提供的技术服务不能满足甲方的需求，每延迟1日，乙方按合同总额4%向甲方支付违约金。3.服务期间，乙方人员违反甲方规章制度，造成损失的，乙方应赔偿甲方的全部损失，并无条件更换服务（技术）人员。</w:t>
      </w:r>
    </w:p>
    <w:p w14:paraId="3790AD08">
      <w:pPr>
        <w:pStyle w:val="13"/>
        <w:spacing w:line="240" w:lineRule="auto"/>
        <w:ind w:firstLine="0" w:firstLineChars="0"/>
        <w:rPr>
          <w:rFonts w:ascii="宋体" w:hAnsi="宋体" w:eastAsia="宋体" w:cs="宋体"/>
          <w:b/>
          <w:sz w:val="24"/>
          <w:szCs w:val="24"/>
        </w:rPr>
      </w:pPr>
      <w:r>
        <w:rPr>
          <w:rFonts w:hint="eastAsia" w:ascii="宋体" w:hAnsi="宋体" w:eastAsia="宋体" w:cs="宋体"/>
          <w:b/>
          <w:sz w:val="24"/>
          <w:szCs w:val="24"/>
        </w:rPr>
        <w:t>六、权利保证</w:t>
      </w:r>
    </w:p>
    <w:p w14:paraId="444AE54C">
      <w:pPr>
        <w:ind w:firstLine="480" w:firstLineChars="200"/>
        <w:rPr>
          <w:rFonts w:ascii="宋体" w:hAnsi="宋体"/>
          <w:sz w:val="24"/>
          <w:szCs w:val="24"/>
        </w:rPr>
      </w:pPr>
      <w:r>
        <w:rPr>
          <w:rFonts w:hint="eastAsia" w:ascii="宋体"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14:paraId="084B62D7">
      <w:pPr>
        <w:numPr>
          <w:ilvl w:val="0"/>
          <w:numId w:val="1"/>
        </w:numPr>
        <w:rPr>
          <w:rFonts w:ascii="宋体" w:hAnsi="宋体"/>
          <w:b/>
          <w:sz w:val="24"/>
          <w:szCs w:val="24"/>
        </w:rPr>
      </w:pPr>
      <w:r>
        <w:rPr>
          <w:rFonts w:hint="eastAsia" w:ascii="宋体" w:hAnsi="宋体"/>
          <w:b/>
          <w:sz w:val="24"/>
          <w:szCs w:val="24"/>
        </w:rPr>
        <w:t xml:space="preserve">合同的变更和终止  </w:t>
      </w:r>
    </w:p>
    <w:p w14:paraId="4F1B777E">
      <w:pPr>
        <w:ind w:firstLine="480" w:firstLineChars="200"/>
        <w:rPr>
          <w:rFonts w:ascii="宋体" w:hAnsi="宋体"/>
          <w:sz w:val="24"/>
          <w:szCs w:val="24"/>
        </w:rPr>
      </w:pPr>
      <w:r>
        <w:rPr>
          <w:rFonts w:hint="eastAsia" w:ascii="宋体" w:hAnsi="宋体"/>
          <w:sz w:val="24"/>
          <w:szCs w:val="24"/>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甲方采购黑名单。</w:t>
      </w:r>
    </w:p>
    <w:p w14:paraId="6BC40F1D">
      <w:pPr>
        <w:numPr>
          <w:ilvl w:val="0"/>
          <w:numId w:val="1"/>
        </w:numPr>
        <w:rPr>
          <w:rFonts w:ascii="宋体" w:hAnsi="宋体"/>
          <w:b/>
          <w:sz w:val="24"/>
          <w:szCs w:val="24"/>
        </w:rPr>
      </w:pPr>
      <w:r>
        <w:rPr>
          <w:rFonts w:hint="eastAsia" w:ascii="宋体" w:hAnsi="宋体"/>
          <w:b/>
          <w:sz w:val="24"/>
          <w:szCs w:val="24"/>
        </w:rPr>
        <w:t xml:space="preserve">合同的转让   </w:t>
      </w:r>
    </w:p>
    <w:p w14:paraId="5B84AC6B">
      <w:pPr>
        <w:ind w:firstLine="480" w:firstLineChars="200"/>
        <w:rPr>
          <w:rFonts w:ascii="宋体" w:hAnsi="宋体"/>
          <w:sz w:val="24"/>
          <w:szCs w:val="24"/>
        </w:rPr>
      </w:pPr>
      <w:r>
        <w:rPr>
          <w:rFonts w:hint="eastAsia" w:ascii="宋体" w:hAnsi="宋体"/>
          <w:sz w:val="24"/>
          <w:szCs w:val="24"/>
        </w:rPr>
        <w:t>乙方不得擅自部分或全部转让其应履行的合同义务。</w:t>
      </w:r>
    </w:p>
    <w:p w14:paraId="0BD75978">
      <w:pPr>
        <w:numPr>
          <w:ilvl w:val="0"/>
          <w:numId w:val="1"/>
        </w:numPr>
        <w:rPr>
          <w:rFonts w:ascii="宋体" w:hAnsi="宋体"/>
          <w:b/>
          <w:sz w:val="24"/>
          <w:szCs w:val="24"/>
        </w:rPr>
      </w:pPr>
      <w:r>
        <w:rPr>
          <w:rFonts w:hint="eastAsia" w:ascii="宋体" w:hAnsi="宋体"/>
          <w:b/>
          <w:sz w:val="24"/>
          <w:szCs w:val="24"/>
        </w:rPr>
        <w:t xml:space="preserve">争议的解决   </w:t>
      </w:r>
    </w:p>
    <w:p w14:paraId="5F9006D7">
      <w:pPr>
        <w:ind w:firstLine="480" w:firstLineChars="200"/>
        <w:rPr>
          <w:rFonts w:ascii="宋体" w:hAnsi="宋体"/>
          <w:sz w:val="24"/>
          <w:szCs w:val="24"/>
        </w:rPr>
      </w:pPr>
      <w:r>
        <w:rPr>
          <w:rFonts w:hint="eastAsia" w:ascii="宋体" w:hAnsi="宋体"/>
          <w:sz w:val="24"/>
          <w:szCs w:val="24"/>
        </w:rPr>
        <w:t>因履行本合同引起的或与本合同有关的争议，甲、乙双方应首先通过友好协商解决，如果协商不能解决争议，可向甲方所在地有管辖权的人民法院提起诉讼。在诉讼期间，本合同应继续履行。</w:t>
      </w:r>
    </w:p>
    <w:p w14:paraId="3363536D">
      <w:pPr>
        <w:numPr>
          <w:ilvl w:val="0"/>
          <w:numId w:val="1"/>
        </w:numPr>
        <w:rPr>
          <w:rFonts w:ascii="宋体" w:hAnsi="宋体"/>
          <w:b/>
          <w:sz w:val="24"/>
          <w:szCs w:val="24"/>
        </w:rPr>
      </w:pPr>
      <w:r>
        <w:rPr>
          <w:rFonts w:hint="eastAsia" w:ascii="宋体" w:hAnsi="宋体"/>
          <w:b/>
          <w:sz w:val="24"/>
          <w:szCs w:val="24"/>
        </w:rPr>
        <w:t xml:space="preserve">诚实信用   </w:t>
      </w:r>
    </w:p>
    <w:p w14:paraId="048456F7">
      <w:pPr>
        <w:ind w:firstLine="480" w:firstLineChars="200"/>
        <w:rPr>
          <w:rFonts w:ascii="宋体" w:hAnsi="宋体"/>
          <w:sz w:val="24"/>
          <w:szCs w:val="24"/>
        </w:rPr>
      </w:pPr>
      <w:r>
        <w:rPr>
          <w:rFonts w:hint="eastAsia" w:ascii="宋体" w:hAnsi="宋体"/>
          <w:sz w:val="24"/>
          <w:szCs w:val="24"/>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6408F774">
      <w:pPr>
        <w:numPr>
          <w:ilvl w:val="0"/>
          <w:numId w:val="1"/>
        </w:numPr>
        <w:rPr>
          <w:rFonts w:ascii="宋体" w:hAnsi="宋体"/>
          <w:b/>
          <w:sz w:val="24"/>
          <w:szCs w:val="24"/>
        </w:rPr>
      </w:pPr>
      <w:r>
        <w:rPr>
          <w:rFonts w:hint="eastAsia" w:ascii="宋体" w:hAnsi="宋体"/>
          <w:b/>
          <w:sz w:val="24"/>
          <w:szCs w:val="24"/>
        </w:rPr>
        <w:t xml:space="preserve">合同生效及其他  </w:t>
      </w:r>
    </w:p>
    <w:p w14:paraId="470A000C">
      <w:pPr>
        <w:ind w:firstLine="480" w:firstLineChars="200"/>
        <w:rPr>
          <w:rFonts w:ascii="宋体" w:hAnsi="宋体"/>
          <w:sz w:val="24"/>
          <w:szCs w:val="24"/>
        </w:rPr>
      </w:pPr>
      <w:r>
        <w:rPr>
          <w:rFonts w:hint="eastAsia" w:ascii="宋体" w:hAnsi="宋体"/>
          <w:sz w:val="24"/>
          <w:szCs w:val="24"/>
        </w:rPr>
        <w:t>本合同经双方法定代表人或授权委托代表人签字或签章并加盖单位公章后生效。本合同正本一式四份，具有同等法律效力，甲方执三份，乙方执壹份。本合同未尽事宜，遵照《民法典》有关条文执行。</w:t>
      </w:r>
    </w:p>
    <w:p w14:paraId="65B09D34">
      <w:pPr>
        <w:ind w:firstLine="480" w:firstLineChars="200"/>
        <w:rPr>
          <w:rFonts w:ascii="宋体" w:hAnsi="宋体"/>
          <w:sz w:val="24"/>
          <w:szCs w:val="24"/>
        </w:rPr>
      </w:pPr>
      <w:r>
        <w:rPr>
          <w:rFonts w:hint="eastAsia" w:ascii="宋体" w:hAnsi="宋体"/>
          <w:sz w:val="24"/>
          <w:szCs w:val="24"/>
        </w:rPr>
        <w:t>（以下无正文）</w:t>
      </w:r>
    </w:p>
    <w:p w14:paraId="438BD3B8"/>
    <w:p w14:paraId="66460F09"/>
    <w:bookmarkEnd w:id="156"/>
    <w:p w14:paraId="28BBBA44">
      <w:pPr>
        <w:pStyle w:val="3"/>
        <w:numPr>
          <w:ilvl w:val="0"/>
          <w:numId w:val="2"/>
        </w:numPr>
        <w:ind w:firstLine="2640" w:firstLineChars="600"/>
        <w:jc w:val="both"/>
        <w:rPr>
          <w:rFonts w:ascii="黑体" w:eastAsia="黑体"/>
          <w:bCs/>
          <w:sz w:val="44"/>
        </w:rPr>
      </w:pPr>
      <w:r>
        <w:rPr>
          <w:rFonts w:hint="eastAsia" w:ascii="黑体" w:eastAsia="黑体"/>
          <w:bCs/>
          <w:sz w:val="44"/>
        </w:rPr>
        <w:t>项目需求</w:t>
      </w:r>
      <w:bookmarkEnd w:id="157"/>
      <w:bookmarkEnd w:id="158"/>
      <w:bookmarkEnd w:id="159"/>
      <w:bookmarkEnd w:id="163"/>
    </w:p>
    <w:p w14:paraId="44E58F0E">
      <w:pPr>
        <w:rPr>
          <w:rFonts w:hint="default" w:asciiTheme="majorEastAsia" w:hAnsiTheme="majorEastAsia" w:eastAsiaTheme="majorEastAsia" w:cstheme="majorEastAsia"/>
          <w:sz w:val="30"/>
          <w:szCs w:val="30"/>
          <w:lang w:val="en-US" w:eastAsia="zh-CN"/>
        </w:rPr>
      </w:pPr>
      <w:bookmarkStart w:id="164" w:name="_Toc49090575"/>
      <w:bookmarkStart w:id="165" w:name="_Toc120614281"/>
      <w:bookmarkStart w:id="166" w:name="_Toc26554093"/>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30"/>
          <w:szCs w:val="30"/>
          <w:lang w:val="en-US" w:eastAsia="zh-CN"/>
        </w:rPr>
        <w:t>包号01   门诊智能排队叫号管理系统维保</w:t>
      </w:r>
    </w:p>
    <w:p w14:paraId="35ADE973">
      <w:pPr>
        <w:rPr>
          <w:rFonts w:ascii="宋体" w:hAnsi="宋体" w:cs="宋体"/>
          <w:b/>
          <w:bCs/>
          <w:sz w:val="24"/>
          <w:szCs w:val="24"/>
          <w:lang w:bidi="ar"/>
        </w:rPr>
      </w:pPr>
      <w:r>
        <w:rPr>
          <w:rFonts w:hint="eastAsia" w:ascii="宋体" w:hAnsi="宋体" w:cs="宋体"/>
          <w:b/>
          <w:bCs/>
          <w:sz w:val="24"/>
          <w:szCs w:val="24"/>
        </w:rPr>
        <w:t>一、服务条款（根据本内容填写《服务条款偏离表》要求逐一响应，原则上均须全部响应，有一项不响应或未提供视为无效投标）</w:t>
      </w:r>
    </w:p>
    <w:p w14:paraId="6BE1A0B0">
      <w:pPr>
        <w:rPr>
          <w:rFonts w:ascii="宋体" w:hAnsi="宋体" w:cs="宋体"/>
          <w:sz w:val="24"/>
          <w:szCs w:val="24"/>
        </w:rPr>
      </w:pPr>
    </w:p>
    <w:p w14:paraId="49DE7DD1">
      <w:pPr>
        <w:rPr>
          <w:rFonts w:ascii="宋体" w:hAnsi="宋体" w:cs="宋体"/>
          <w:b/>
          <w:bCs/>
          <w:sz w:val="24"/>
          <w:szCs w:val="24"/>
        </w:rPr>
      </w:pPr>
      <w:bookmarkStart w:id="167" w:name="_Toc106807614"/>
      <w:r>
        <w:rPr>
          <w:rFonts w:hint="eastAsia" w:ascii="宋体" w:hAnsi="宋体" w:cs="宋体"/>
          <w:b/>
          <w:bCs/>
          <w:sz w:val="24"/>
          <w:szCs w:val="24"/>
        </w:rPr>
        <w:t>（一）维保服务清单</w:t>
      </w:r>
    </w:p>
    <w:tbl>
      <w:tblPr>
        <w:tblStyle w:val="15"/>
        <w:tblW w:w="9454"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1329"/>
        <w:gridCol w:w="3020"/>
        <w:gridCol w:w="2105"/>
      </w:tblGrid>
      <w:tr w14:paraId="7B15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778D9AC2">
            <w:pPr>
              <w:jc w:val="center"/>
              <w:rPr>
                <w:rFonts w:ascii="宋体" w:hAnsi="宋体" w:cs="宋体"/>
                <w:sz w:val="24"/>
                <w:szCs w:val="24"/>
              </w:rPr>
            </w:pPr>
            <w:r>
              <w:rPr>
                <w:rFonts w:hint="eastAsia" w:ascii="宋体" w:hAnsi="宋体" w:cs="宋体"/>
                <w:sz w:val="24"/>
                <w:szCs w:val="24"/>
              </w:rPr>
              <w:t>维保内容</w:t>
            </w:r>
          </w:p>
        </w:tc>
        <w:tc>
          <w:tcPr>
            <w:tcW w:w="1329" w:type="dxa"/>
          </w:tcPr>
          <w:p w14:paraId="0E76EA88">
            <w:pPr>
              <w:jc w:val="center"/>
              <w:rPr>
                <w:rFonts w:ascii="宋体" w:hAnsi="宋体" w:cs="宋体"/>
                <w:sz w:val="24"/>
                <w:szCs w:val="24"/>
              </w:rPr>
            </w:pPr>
            <w:r>
              <w:rPr>
                <w:rFonts w:hint="eastAsia" w:ascii="宋体" w:hAnsi="宋体" w:cs="宋体"/>
                <w:sz w:val="24"/>
                <w:szCs w:val="24"/>
              </w:rPr>
              <w:t>数量/单位</w:t>
            </w:r>
          </w:p>
        </w:tc>
        <w:tc>
          <w:tcPr>
            <w:tcW w:w="3020" w:type="dxa"/>
          </w:tcPr>
          <w:p w14:paraId="0310262C">
            <w:pPr>
              <w:jc w:val="center"/>
              <w:rPr>
                <w:rFonts w:ascii="宋体" w:hAnsi="宋体" w:cs="宋体"/>
                <w:sz w:val="24"/>
                <w:szCs w:val="24"/>
              </w:rPr>
            </w:pPr>
            <w:r>
              <w:rPr>
                <w:rFonts w:hint="eastAsia" w:ascii="宋体" w:hAnsi="宋体" w:cs="宋体"/>
                <w:sz w:val="24"/>
                <w:szCs w:val="24"/>
              </w:rPr>
              <w:t>维保内容</w:t>
            </w:r>
          </w:p>
        </w:tc>
        <w:tc>
          <w:tcPr>
            <w:tcW w:w="2105" w:type="dxa"/>
          </w:tcPr>
          <w:p w14:paraId="1D951365">
            <w:pPr>
              <w:jc w:val="center"/>
              <w:rPr>
                <w:rFonts w:ascii="宋体" w:hAnsi="宋体" w:cs="宋体"/>
                <w:sz w:val="24"/>
                <w:szCs w:val="24"/>
              </w:rPr>
            </w:pPr>
            <w:r>
              <w:rPr>
                <w:rFonts w:hint="eastAsia" w:ascii="宋体" w:hAnsi="宋体" w:cs="宋体"/>
                <w:sz w:val="24"/>
                <w:szCs w:val="24"/>
              </w:rPr>
              <w:t>备注</w:t>
            </w:r>
          </w:p>
        </w:tc>
      </w:tr>
      <w:tr w14:paraId="7AFE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0C743E63">
            <w:pPr>
              <w:rPr>
                <w:rFonts w:ascii="宋体" w:hAnsi="宋体" w:cs="宋体"/>
                <w:sz w:val="24"/>
                <w:szCs w:val="24"/>
              </w:rPr>
            </w:pPr>
            <w:r>
              <w:rPr>
                <w:rFonts w:hint="eastAsia" w:ascii="宋体" w:hAnsi="宋体" w:cs="宋体"/>
                <w:sz w:val="24"/>
                <w:szCs w:val="24"/>
              </w:rPr>
              <w:t>门诊分诊叫号系统</w:t>
            </w:r>
          </w:p>
        </w:tc>
        <w:tc>
          <w:tcPr>
            <w:tcW w:w="1329" w:type="dxa"/>
          </w:tcPr>
          <w:p w14:paraId="628A02DA">
            <w:pPr>
              <w:rPr>
                <w:rFonts w:ascii="宋体" w:hAnsi="宋体" w:cs="宋体"/>
                <w:sz w:val="24"/>
                <w:szCs w:val="24"/>
              </w:rPr>
            </w:pPr>
            <w:r>
              <w:rPr>
                <w:rFonts w:hint="eastAsia" w:ascii="宋体" w:hAnsi="宋体" w:cs="宋体"/>
                <w:sz w:val="24"/>
                <w:szCs w:val="24"/>
              </w:rPr>
              <w:t>1套</w:t>
            </w:r>
          </w:p>
        </w:tc>
        <w:tc>
          <w:tcPr>
            <w:tcW w:w="3020" w:type="dxa"/>
          </w:tcPr>
          <w:p w14:paraId="639C4973">
            <w:pPr>
              <w:rPr>
                <w:rFonts w:ascii="宋体" w:hAnsi="宋体" w:cs="宋体"/>
                <w:sz w:val="24"/>
                <w:szCs w:val="24"/>
              </w:rPr>
            </w:pPr>
            <w:r>
              <w:rPr>
                <w:rFonts w:hint="eastAsia" w:ascii="宋体" w:hAnsi="宋体" w:cs="宋体"/>
                <w:sz w:val="24"/>
                <w:szCs w:val="24"/>
              </w:rPr>
              <w:t>软件日常运维及问题处理</w:t>
            </w:r>
          </w:p>
        </w:tc>
        <w:tc>
          <w:tcPr>
            <w:tcW w:w="2105" w:type="dxa"/>
          </w:tcPr>
          <w:p w14:paraId="7DBA9BF6">
            <w:pPr>
              <w:rPr>
                <w:rFonts w:ascii="宋体" w:hAnsi="宋体" w:cs="宋体"/>
                <w:sz w:val="24"/>
                <w:szCs w:val="24"/>
              </w:rPr>
            </w:pPr>
            <w:r>
              <w:rPr>
                <w:rFonts w:hint="eastAsia" w:ascii="宋体" w:hAnsi="宋体" w:cs="宋体"/>
                <w:sz w:val="24"/>
                <w:szCs w:val="24"/>
              </w:rPr>
              <w:t>含所有诊区单元</w:t>
            </w:r>
          </w:p>
        </w:tc>
      </w:tr>
      <w:tr w14:paraId="7784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04540AF7">
            <w:pPr>
              <w:rPr>
                <w:rFonts w:ascii="宋体" w:hAnsi="宋体" w:cs="宋体"/>
                <w:sz w:val="24"/>
                <w:szCs w:val="24"/>
              </w:rPr>
            </w:pPr>
            <w:r>
              <w:rPr>
                <w:rFonts w:hint="eastAsia" w:ascii="宋体" w:hAnsi="宋体" w:cs="宋体"/>
                <w:sz w:val="24"/>
                <w:szCs w:val="24"/>
              </w:rPr>
              <w:t>门诊检验抽血叫号系统</w:t>
            </w:r>
          </w:p>
        </w:tc>
        <w:tc>
          <w:tcPr>
            <w:tcW w:w="1329" w:type="dxa"/>
          </w:tcPr>
          <w:p w14:paraId="2735546A">
            <w:pPr>
              <w:rPr>
                <w:rFonts w:ascii="宋体" w:hAnsi="宋体" w:cs="宋体"/>
                <w:sz w:val="24"/>
                <w:szCs w:val="24"/>
              </w:rPr>
            </w:pPr>
            <w:r>
              <w:rPr>
                <w:rFonts w:hint="eastAsia" w:ascii="宋体" w:hAnsi="宋体" w:cs="宋体"/>
                <w:sz w:val="24"/>
                <w:szCs w:val="24"/>
              </w:rPr>
              <w:t>1套</w:t>
            </w:r>
          </w:p>
        </w:tc>
        <w:tc>
          <w:tcPr>
            <w:tcW w:w="3020" w:type="dxa"/>
          </w:tcPr>
          <w:p w14:paraId="43F42034">
            <w:pPr>
              <w:rPr>
                <w:rFonts w:ascii="宋体" w:hAnsi="宋体" w:cs="宋体"/>
                <w:sz w:val="24"/>
                <w:szCs w:val="24"/>
              </w:rPr>
            </w:pPr>
            <w:r>
              <w:rPr>
                <w:rFonts w:hint="eastAsia" w:ascii="宋体" w:hAnsi="宋体" w:cs="宋体"/>
                <w:sz w:val="24"/>
                <w:szCs w:val="24"/>
              </w:rPr>
              <w:t>软件日常运维及问题处理</w:t>
            </w:r>
          </w:p>
        </w:tc>
        <w:tc>
          <w:tcPr>
            <w:tcW w:w="2105" w:type="dxa"/>
          </w:tcPr>
          <w:p w14:paraId="07843F7D">
            <w:pPr>
              <w:rPr>
                <w:rFonts w:ascii="宋体" w:hAnsi="宋体" w:cs="宋体"/>
                <w:sz w:val="24"/>
                <w:szCs w:val="24"/>
              </w:rPr>
            </w:pPr>
          </w:p>
        </w:tc>
      </w:tr>
      <w:tr w14:paraId="745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2AB09E5A">
            <w:pPr>
              <w:rPr>
                <w:rFonts w:ascii="宋体" w:hAnsi="宋体" w:cs="宋体"/>
                <w:sz w:val="24"/>
                <w:szCs w:val="24"/>
              </w:rPr>
            </w:pPr>
            <w:r>
              <w:rPr>
                <w:rFonts w:hint="eastAsia" w:ascii="宋体" w:hAnsi="宋体" w:cs="宋体"/>
                <w:sz w:val="24"/>
                <w:szCs w:val="24"/>
              </w:rPr>
              <w:t>药房自助签到叫号系统</w:t>
            </w:r>
          </w:p>
        </w:tc>
        <w:tc>
          <w:tcPr>
            <w:tcW w:w="1329" w:type="dxa"/>
          </w:tcPr>
          <w:p w14:paraId="54B7BD22">
            <w:pPr>
              <w:rPr>
                <w:rFonts w:ascii="宋体" w:hAnsi="宋体" w:cs="宋体"/>
                <w:sz w:val="24"/>
                <w:szCs w:val="24"/>
              </w:rPr>
            </w:pPr>
            <w:r>
              <w:rPr>
                <w:rFonts w:hint="eastAsia" w:ascii="宋体" w:hAnsi="宋体" w:cs="宋体"/>
                <w:sz w:val="24"/>
                <w:szCs w:val="24"/>
              </w:rPr>
              <w:t>1套</w:t>
            </w:r>
          </w:p>
        </w:tc>
        <w:tc>
          <w:tcPr>
            <w:tcW w:w="3020" w:type="dxa"/>
          </w:tcPr>
          <w:p w14:paraId="27DFA469">
            <w:pPr>
              <w:rPr>
                <w:rFonts w:ascii="宋体" w:hAnsi="宋体" w:cs="宋体"/>
                <w:sz w:val="24"/>
                <w:szCs w:val="24"/>
              </w:rPr>
            </w:pPr>
            <w:r>
              <w:rPr>
                <w:rFonts w:hint="eastAsia" w:ascii="宋体" w:hAnsi="宋体" w:cs="宋体"/>
                <w:sz w:val="24"/>
                <w:szCs w:val="24"/>
              </w:rPr>
              <w:t>软件日常运维及问题处理</w:t>
            </w:r>
          </w:p>
        </w:tc>
        <w:tc>
          <w:tcPr>
            <w:tcW w:w="2105" w:type="dxa"/>
          </w:tcPr>
          <w:p w14:paraId="49B30891">
            <w:pPr>
              <w:rPr>
                <w:rFonts w:ascii="宋体" w:hAnsi="宋体" w:cs="宋体"/>
                <w:sz w:val="24"/>
                <w:szCs w:val="24"/>
              </w:rPr>
            </w:pPr>
          </w:p>
        </w:tc>
      </w:tr>
      <w:tr w14:paraId="2586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19D71480">
            <w:pPr>
              <w:rPr>
                <w:rFonts w:ascii="宋体" w:hAnsi="宋体" w:cs="宋体"/>
                <w:sz w:val="24"/>
                <w:szCs w:val="24"/>
              </w:rPr>
            </w:pPr>
            <w:r>
              <w:rPr>
                <w:rFonts w:hint="eastAsia" w:ascii="宋体" w:hAnsi="宋体" w:cs="宋体"/>
                <w:sz w:val="24"/>
                <w:szCs w:val="24"/>
              </w:rPr>
              <w:t>医技检查叫号系统</w:t>
            </w:r>
          </w:p>
        </w:tc>
        <w:tc>
          <w:tcPr>
            <w:tcW w:w="1329" w:type="dxa"/>
          </w:tcPr>
          <w:p w14:paraId="6B3A3329">
            <w:pPr>
              <w:rPr>
                <w:rFonts w:ascii="宋体" w:hAnsi="宋体" w:cs="宋体"/>
                <w:sz w:val="24"/>
                <w:szCs w:val="24"/>
              </w:rPr>
            </w:pPr>
            <w:r>
              <w:rPr>
                <w:rFonts w:hint="eastAsia" w:ascii="宋体" w:hAnsi="宋体" w:cs="宋体"/>
                <w:sz w:val="24"/>
                <w:szCs w:val="24"/>
              </w:rPr>
              <w:t>1套</w:t>
            </w:r>
          </w:p>
        </w:tc>
        <w:tc>
          <w:tcPr>
            <w:tcW w:w="3020" w:type="dxa"/>
          </w:tcPr>
          <w:p w14:paraId="32C9A2BB">
            <w:pPr>
              <w:rPr>
                <w:rFonts w:ascii="宋体" w:hAnsi="宋体" w:cs="宋体"/>
                <w:sz w:val="24"/>
                <w:szCs w:val="24"/>
              </w:rPr>
            </w:pPr>
            <w:r>
              <w:rPr>
                <w:rFonts w:hint="eastAsia" w:ascii="宋体" w:hAnsi="宋体" w:cs="宋体"/>
                <w:sz w:val="24"/>
                <w:szCs w:val="24"/>
              </w:rPr>
              <w:t>软件日常运维及问题处理</w:t>
            </w:r>
          </w:p>
        </w:tc>
        <w:tc>
          <w:tcPr>
            <w:tcW w:w="2105" w:type="dxa"/>
          </w:tcPr>
          <w:p w14:paraId="7C74BD11">
            <w:pPr>
              <w:rPr>
                <w:rFonts w:ascii="宋体" w:hAnsi="宋体" w:cs="宋体"/>
                <w:sz w:val="24"/>
                <w:szCs w:val="24"/>
              </w:rPr>
            </w:pPr>
            <w:r>
              <w:rPr>
                <w:rFonts w:hint="eastAsia" w:ascii="宋体" w:hAnsi="宋体" w:cs="宋体"/>
                <w:sz w:val="24"/>
                <w:szCs w:val="24"/>
              </w:rPr>
              <w:t>含所有检查单元</w:t>
            </w:r>
          </w:p>
        </w:tc>
      </w:tr>
      <w:tr w14:paraId="2ADD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00" w:type="dxa"/>
          </w:tcPr>
          <w:p w14:paraId="2775CAAD">
            <w:pPr>
              <w:rPr>
                <w:rFonts w:ascii="宋体" w:hAnsi="宋体" w:cs="宋体"/>
                <w:sz w:val="24"/>
                <w:szCs w:val="24"/>
              </w:rPr>
            </w:pPr>
            <w:r>
              <w:rPr>
                <w:rFonts w:hint="eastAsia" w:ascii="宋体" w:hAnsi="宋体" w:cs="宋体"/>
                <w:sz w:val="24"/>
                <w:szCs w:val="24"/>
              </w:rPr>
              <w:t>输液叫号管理系统</w:t>
            </w:r>
          </w:p>
        </w:tc>
        <w:tc>
          <w:tcPr>
            <w:tcW w:w="1329" w:type="dxa"/>
          </w:tcPr>
          <w:p w14:paraId="6CED1521">
            <w:pPr>
              <w:rPr>
                <w:rFonts w:ascii="宋体" w:hAnsi="宋体" w:cs="宋体"/>
                <w:sz w:val="24"/>
                <w:szCs w:val="24"/>
              </w:rPr>
            </w:pPr>
            <w:r>
              <w:rPr>
                <w:rFonts w:hint="eastAsia" w:ascii="宋体" w:hAnsi="宋体" w:cs="宋体"/>
                <w:sz w:val="24"/>
                <w:szCs w:val="24"/>
              </w:rPr>
              <w:t>1套</w:t>
            </w:r>
          </w:p>
        </w:tc>
        <w:tc>
          <w:tcPr>
            <w:tcW w:w="3020" w:type="dxa"/>
          </w:tcPr>
          <w:p w14:paraId="5E507B5D">
            <w:pPr>
              <w:rPr>
                <w:rFonts w:ascii="宋体" w:hAnsi="宋体" w:cs="宋体"/>
                <w:sz w:val="24"/>
                <w:szCs w:val="24"/>
              </w:rPr>
            </w:pPr>
          </w:p>
        </w:tc>
        <w:tc>
          <w:tcPr>
            <w:tcW w:w="2105" w:type="dxa"/>
          </w:tcPr>
          <w:p w14:paraId="509979AC">
            <w:pPr>
              <w:rPr>
                <w:rFonts w:ascii="宋体" w:hAnsi="宋体" w:cs="宋体"/>
                <w:sz w:val="24"/>
                <w:szCs w:val="24"/>
              </w:rPr>
            </w:pPr>
          </w:p>
        </w:tc>
      </w:tr>
      <w:tr w14:paraId="2314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139C2CF9">
            <w:pPr>
              <w:rPr>
                <w:rFonts w:ascii="宋体" w:hAnsi="宋体" w:cs="宋体"/>
                <w:sz w:val="24"/>
                <w:szCs w:val="24"/>
              </w:rPr>
            </w:pPr>
            <w:r>
              <w:rPr>
                <w:rFonts w:hint="eastAsia" w:ascii="宋体" w:hAnsi="宋体" w:cs="宋体"/>
                <w:sz w:val="24"/>
                <w:szCs w:val="24"/>
              </w:rPr>
              <w:t>门诊专家信息发布系统</w:t>
            </w:r>
          </w:p>
        </w:tc>
        <w:tc>
          <w:tcPr>
            <w:tcW w:w="1329" w:type="dxa"/>
          </w:tcPr>
          <w:p w14:paraId="6975F990">
            <w:pPr>
              <w:rPr>
                <w:rFonts w:ascii="宋体" w:hAnsi="宋体" w:cs="宋体"/>
                <w:sz w:val="24"/>
                <w:szCs w:val="24"/>
              </w:rPr>
            </w:pPr>
            <w:r>
              <w:rPr>
                <w:rFonts w:hint="eastAsia" w:ascii="宋体" w:hAnsi="宋体" w:cs="宋体"/>
                <w:sz w:val="24"/>
                <w:szCs w:val="24"/>
              </w:rPr>
              <w:t>1套</w:t>
            </w:r>
          </w:p>
        </w:tc>
        <w:tc>
          <w:tcPr>
            <w:tcW w:w="3020" w:type="dxa"/>
          </w:tcPr>
          <w:p w14:paraId="6DF3F07C">
            <w:pPr>
              <w:rPr>
                <w:rFonts w:ascii="宋体" w:hAnsi="宋体" w:cs="宋体"/>
                <w:sz w:val="24"/>
                <w:szCs w:val="24"/>
              </w:rPr>
            </w:pPr>
          </w:p>
        </w:tc>
        <w:tc>
          <w:tcPr>
            <w:tcW w:w="2105" w:type="dxa"/>
          </w:tcPr>
          <w:p w14:paraId="425DC9D2">
            <w:pPr>
              <w:rPr>
                <w:rFonts w:ascii="宋体" w:hAnsi="宋体" w:cs="宋体"/>
                <w:sz w:val="24"/>
                <w:szCs w:val="24"/>
              </w:rPr>
            </w:pPr>
            <w:r>
              <w:rPr>
                <w:rFonts w:hint="eastAsia" w:ascii="宋体" w:hAnsi="宋体" w:cs="宋体"/>
                <w:sz w:val="24"/>
                <w:szCs w:val="24"/>
              </w:rPr>
              <w:t>含所有信息发布点</w:t>
            </w:r>
          </w:p>
        </w:tc>
      </w:tr>
      <w:tr w14:paraId="2571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5D9BE774">
            <w:pPr>
              <w:rPr>
                <w:rFonts w:ascii="宋体" w:hAnsi="宋体" w:cs="宋体"/>
                <w:sz w:val="24"/>
                <w:szCs w:val="24"/>
              </w:rPr>
            </w:pPr>
            <w:r>
              <w:rPr>
                <w:rFonts w:hint="eastAsia" w:ascii="宋体" w:hAnsi="宋体" w:cs="宋体"/>
                <w:sz w:val="24"/>
                <w:szCs w:val="24"/>
              </w:rPr>
              <w:t>住院办理叫号系统</w:t>
            </w:r>
          </w:p>
        </w:tc>
        <w:tc>
          <w:tcPr>
            <w:tcW w:w="1329" w:type="dxa"/>
          </w:tcPr>
          <w:p w14:paraId="410B3238">
            <w:pPr>
              <w:rPr>
                <w:rFonts w:ascii="宋体" w:hAnsi="宋体" w:cs="宋体"/>
                <w:sz w:val="24"/>
                <w:szCs w:val="24"/>
              </w:rPr>
            </w:pPr>
            <w:r>
              <w:rPr>
                <w:rFonts w:hint="eastAsia" w:ascii="宋体" w:hAnsi="宋体" w:cs="宋体"/>
                <w:sz w:val="24"/>
                <w:szCs w:val="24"/>
              </w:rPr>
              <w:t>1套</w:t>
            </w:r>
          </w:p>
        </w:tc>
        <w:tc>
          <w:tcPr>
            <w:tcW w:w="3020" w:type="dxa"/>
          </w:tcPr>
          <w:p w14:paraId="65926974">
            <w:pPr>
              <w:rPr>
                <w:rFonts w:ascii="宋体" w:hAnsi="宋体" w:cs="宋体"/>
                <w:sz w:val="24"/>
                <w:szCs w:val="24"/>
              </w:rPr>
            </w:pPr>
          </w:p>
        </w:tc>
        <w:tc>
          <w:tcPr>
            <w:tcW w:w="2105" w:type="dxa"/>
          </w:tcPr>
          <w:p w14:paraId="3CE4828C">
            <w:pPr>
              <w:rPr>
                <w:rFonts w:ascii="宋体" w:hAnsi="宋体" w:cs="宋体"/>
                <w:sz w:val="24"/>
                <w:szCs w:val="24"/>
              </w:rPr>
            </w:pPr>
          </w:p>
        </w:tc>
      </w:tr>
      <w:tr w14:paraId="77A6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7E3C4FF6">
            <w:pPr>
              <w:rPr>
                <w:rFonts w:hint="default" w:ascii="宋体" w:hAnsi="宋体" w:eastAsia="宋体" w:cs="宋体"/>
                <w:sz w:val="24"/>
                <w:szCs w:val="24"/>
                <w:lang w:val="en-US" w:eastAsia="zh-CN"/>
              </w:rPr>
            </w:pPr>
            <w:r>
              <w:rPr>
                <w:rFonts w:hint="eastAsia" w:ascii="宋体" w:hAnsi="宋体" w:cs="宋体"/>
                <w:sz w:val="24"/>
                <w:szCs w:val="24"/>
              </w:rPr>
              <w:t>诊间屏</w:t>
            </w:r>
            <w:r>
              <w:rPr>
                <w:rFonts w:hint="eastAsia" w:ascii="宋体" w:hAnsi="宋体" w:cs="宋体"/>
                <w:sz w:val="24"/>
                <w:szCs w:val="24"/>
                <w:lang w:val="en-US" w:eastAsia="zh-CN"/>
              </w:rPr>
              <w:t>或签到屏</w:t>
            </w:r>
          </w:p>
        </w:tc>
        <w:tc>
          <w:tcPr>
            <w:tcW w:w="1329" w:type="dxa"/>
          </w:tcPr>
          <w:p w14:paraId="6AD49357">
            <w:pPr>
              <w:rPr>
                <w:rFonts w:ascii="宋体" w:hAnsi="宋体" w:cs="宋体"/>
                <w:sz w:val="24"/>
                <w:szCs w:val="24"/>
              </w:rPr>
            </w:pPr>
            <w:r>
              <w:rPr>
                <w:rFonts w:hint="eastAsia" w:ascii="宋体" w:hAnsi="宋体" w:cs="宋体"/>
                <w:sz w:val="24"/>
                <w:szCs w:val="24"/>
              </w:rPr>
              <w:t>5个</w:t>
            </w:r>
          </w:p>
        </w:tc>
        <w:tc>
          <w:tcPr>
            <w:tcW w:w="3020" w:type="dxa"/>
          </w:tcPr>
          <w:p w14:paraId="78255DEC">
            <w:pPr>
              <w:rPr>
                <w:rFonts w:ascii="宋体" w:hAnsi="宋体" w:cs="宋体"/>
                <w:sz w:val="24"/>
                <w:szCs w:val="24"/>
              </w:rPr>
            </w:pPr>
            <w:r>
              <w:rPr>
                <w:rFonts w:hint="eastAsia" w:ascii="宋体" w:hAnsi="宋体" w:cs="宋体"/>
                <w:sz w:val="24"/>
                <w:szCs w:val="24"/>
              </w:rPr>
              <w:t>硬件故障维修及</w:t>
            </w:r>
            <w:r>
              <w:rPr>
                <w:rFonts w:hint="eastAsia" w:ascii="宋体" w:hAnsi="宋体" w:cs="宋体"/>
                <w:sz w:val="24"/>
                <w:szCs w:val="24"/>
                <w:lang w:val="en-US" w:eastAsia="zh-CN"/>
              </w:rPr>
              <w:t>配件更换</w:t>
            </w:r>
          </w:p>
        </w:tc>
        <w:tc>
          <w:tcPr>
            <w:tcW w:w="2105" w:type="dxa"/>
          </w:tcPr>
          <w:p w14:paraId="4C912789">
            <w:pPr>
              <w:rPr>
                <w:rFonts w:ascii="宋体" w:hAnsi="宋体" w:cs="宋体"/>
                <w:sz w:val="24"/>
                <w:szCs w:val="24"/>
              </w:rPr>
            </w:pPr>
          </w:p>
        </w:tc>
      </w:tr>
      <w:tr w14:paraId="37F7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4CD17E4F">
            <w:pPr>
              <w:rPr>
                <w:rFonts w:ascii="宋体" w:hAnsi="宋体" w:cs="宋体"/>
                <w:sz w:val="24"/>
                <w:szCs w:val="24"/>
              </w:rPr>
            </w:pPr>
            <w:r>
              <w:rPr>
                <w:rFonts w:hint="eastAsia" w:ascii="宋体" w:hAnsi="宋体" w:cs="宋体"/>
                <w:sz w:val="24"/>
                <w:szCs w:val="24"/>
              </w:rPr>
              <w:t>诊间屏微型主机</w:t>
            </w:r>
          </w:p>
        </w:tc>
        <w:tc>
          <w:tcPr>
            <w:tcW w:w="1329" w:type="dxa"/>
          </w:tcPr>
          <w:p w14:paraId="1BE769F4">
            <w:pPr>
              <w:rPr>
                <w:rFonts w:ascii="宋体" w:hAnsi="宋体" w:cs="宋体"/>
                <w:sz w:val="24"/>
                <w:szCs w:val="24"/>
              </w:rPr>
            </w:pPr>
            <w:r>
              <w:rPr>
                <w:rFonts w:hint="eastAsia" w:ascii="宋体" w:hAnsi="宋体" w:cs="宋体"/>
                <w:sz w:val="24"/>
                <w:szCs w:val="24"/>
              </w:rPr>
              <w:t>5个</w:t>
            </w:r>
          </w:p>
        </w:tc>
        <w:tc>
          <w:tcPr>
            <w:tcW w:w="3020" w:type="dxa"/>
          </w:tcPr>
          <w:p w14:paraId="17D87389">
            <w:pPr>
              <w:rPr>
                <w:rFonts w:ascii="宋体" w:hAnsi="宋体" w:cs="宋体"/>
                <w:sz w:val="24"/>
                <w:szCs w:val="24"/>
              </w:rPr>
            </w:pPr>
            <w:r>
              <w:rPr>
                <w:rFonts w:hint="eastAsia" w:ascii="宋体" w:hAnsi="宋体" w:cs="宋体"/>
                <w:sz w:val="24"/>
                <w:szCs w:val="24"/>
              </w:rPr>
              <w:t>硬件故障维修及</w:t>
            </w:r>
            <w:r>
              <w:rPr>
                <w:rFonts w:hint="eastAsia" w:ascii="宋体" w:hAnsi="宋体" w:cs="宋体"/>
                <w:sz w:val="24"/>
                <w:szCs w:val="24"/>
                <w:lang w:val="en-US" w:eastAsia="zh-CN"/>
              </w:rPr>
              <w:t>配件更</w:t>
            </w:r>
            <w:r>
              <w:rPr>
                <w:rFonts w:hint="eastAsia" w:ascii="宋体" w:hAnsi="宋体" w:cs="宋体"/>
                <w:sz w:val="24"/>
                <w:szCs w:val="24"/>
              </w:rPr>
              <w:t>换</w:t>
            </w:r>
          </w:p>
        </w:tc>
        <w:tc>
          <w:tcPr>
            <w:tcW w:w="2105" w:type="dxa"/>
          </w:tcPr>
          <w:p w14:paraId="65D50398">
            <w:pPr>
              <w:rPr>
                <w:rFonts w:ascii="宋体" w:hAnsi="宋体" w:cs="宋体"/>
                <w:sz w:val="24"/>
                <w:szCs w:val="24"/>
              </w:rPr>
            </w:pPr>
          </w:p>
        </w:tc>
      </w:tr>
      <w:tr w14:paraId="35A3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35B0455F">
            <w:pPr>
              <w:rPr>
                <w:rFonts w:ascii="宋体" w:hAnsi="宋体" w:cs="宋体"/>
                <w:sz w:val="24"/>
                <w:szCs w:val="24"/>
              </w:rPr>
            </w:pPr>
            <w:r>
              <w:rPr>
                <w:rFonts w:hint="eastAsia" w:ascii="宋体" w:hAnsi="宋体" w:cs="宋体"/>
                <w:sz w:val="24"/>
                <w:szCs w:val="24"/>
              </w:rPr>
              <w:t>设备调整安装对接调试</w:t>
            </w:r>
          </w:p>
        </w:tc>
        <w:tc>
          <w:tcPr>
            <w:tcW w:w="1329" w:type="dxa"/>
          </w:tcPr>
          <w:p w14:paraId="4662227B">
            <w:pPr>
              <w:rPr>
                <w:rFonts w:ascii="宋体" w:hAnsi="宋体" w:cs="宋体"/>
                <w:sz w:val="24"/>
                <w:szCs w:val="24"/>
              </w:rPr>
            </w:pPr>
          </w:p>
        </w:tc>
        <w:tc>
          <w:tcPr>
            <w:tcW w:w="3020" w:type="dxa"/>
          </w:tcPr>
          <w:p w14:paraId="3DD1A1C6">
            <w:pPr>
              <w:rPr>
                <w:rFonts w:ascii="宋体" w:hAnsi="宋体" w:cs="宋体"/>
                <w:sz w:val="24"/>
                <w:szCs w:val="24"/>
              </w:rPr>
            </w:pPr>
            <w:r>
              <w:rPr>
                <w:rFonts w:hint="eastAsia" w:ascii="宋体" w:hAnsi="宋体" w:cs="宋体"/>
                <w:color w:val="000000"/>
                <w:sz w:val="24"/>
                <w:szCs w:val="24"/>
              </w:rPr>
              <w:t>搬家，调整位置</w:t>
            </w:r>
          </w:p>
        </w:tc>
        <w:tc>
          <w:tcPr>
            <w:tcW w:w="2105" w:type="dxa"/>
          </w:tcPr>
          <w:p w14:paraId="2E3801A5">
            <w:pPr>
              <w:rPr>
                <w:rFonts w:ascii="宋体" w:hAnsi="宋体" w:cs="宋体"/>
                <w:sz w:val="24"/>
                <w:szCs w:val="24"/>
              </w:rPr>
            </w:pPr>
            <w:r>
              <w:rPr>
                <w:rFonts w:hint="eastAsia" w:ascii="宋体" w:hAnsi="宋体" w:cs="宋体"/>
                <w:sz w:val="24"/>
                <w:szCs w:val="24"/>
              </w:rPr>
              <w:t>以实际需求为准</w:t>
            </w:r>
          </w:p>
        </w:tc>
      </w:tr>
      <w:tr w14:paraId="55F3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6DB4F630">
            <w:pPr>
              <w:rPr>
                <w:rFonts w:ascii="宋体" w:hAnsi="宋体" w:cs="宋体"/>
                <w:sz w:val="24"/>
                <w:szCs w:val="24"/>
              </w:rPr>
            </w:pPr>
            <w:r>
              <w:rPr>
                <w:rFonts w:hint="eastAsia" w:ascii="宋体" w:hAnsi="宋体" w:cs="宋体"/>
                <w:sz w:val="24"/>
                <w:szCs w:val="24"/>
              </w:rPr>
              <w:t>系统需求变更及接口优化</w:t>
            </w:r>
          </w:p>
        </w:tc>
        <w:tc>
          <w:tcPr>
            <w:tcW w:w="1329" w:type="dxa"/>
          </w:tcPr>
          <w:p w14:paraId="52557E68">
            <w:pPr>
              <w:rPr>
                <w:rFonts w:ascii="宋体" w:hAnsi="宋体" w:cs="宋体"/>
                <w:sz w:val="24"/>
                <w:szCs w:val="24"/>
              </w:rPr>
            </w:pPr>
          </w:p>
        </w:tc>
        <w:tc>
          <w:tcPr>
            <w:tcW w:w="3020" w:type="dxa"/>
          </w:tcPr>
          <w:p w14:paraId="34DF3612">
            <w:pPr>
              <w:rPr>
                <w:rFonts w:ascii="宋体" w:hAnsi="宋体" w:cs="宋体"/>
                <w:sz w:val="24"/>
                <w:szCs w:val="24"/>
              </w:rPr>
            </w:pPr>
          </w:p>
        </w:tc>
        <w:tc>
          <w:tcPr>
            <w:tcW w:w="2105" w:type="dxa"/>
          </w:tcPr>
          <w:p w14:paraId="722A25A8">
            <w:pPr>
              <w:rPr>
                <w:rFonts w:ascii="宋体" w:hAnsi="宋体" w:cs="宋体"/>
                <w:sz w:val="24"/>
                <w:szCs w:val="24"/>
              </w:rPr>
            </w:pPr>
            <w:r>
              <w:rPr>
                <w:rFonts w:hint="eastAsia" w:ascii="宋体" w:hAnsi="宋体" w:cs="宋体"/>
                <w:sz w:val="24"/>
                <w:szCs w:val="24"/>
              </w:rPr>
              <w:t>以实际需求为准</w:t>
            </w:r>
          </w:p>
        </w:tc>
      </w:tr>
      <w:tr w14:paraId="7DD7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7A4460FE">
            <w:pPr>
              <w:rPr>
                <w:rFonts w:ascii="宋体" w:hAnsi="宋体" w:cs="宋体"/>
                <w:sz w:val="24"/>
                <w:szCs w:val="24"/>
              </w:rPr>
            </w:pPr>
            <w:r>
              <w:rPr>
                <w:rFonts w:hint="eastAsia" w:ascii="宋体" w:hAnsi="宋体" w:cs="宋体"/>
                <w:sz w:val="24"/>
                <w:szCs w:val="24"/>
              </w:rPr>
              <w:t>政策性调整功能优化</w:t>
            </w:r>
          </w:p>
        </w:tc>
        <w:tc>
          <w:tcPr>
            <w:tcW w:w="1329" w:type="dxa"/>
          </w:tcPr>
          <w:p w14:paraId="2C49FA98">
            <w:pPr>
              <w:rPr>
                <w:rFonts w:ascii="宋体" w:hAnsi="宋体" w:cs="宋体"/>
                <w:sz w:val="24"/>
                <w:szCs w:val="24"/>
              </w:rPr>
            </w:pPr>
          </w:p>
        </w:tc>
        <w:tc>
          <w:tcPr>
            <w:tcW w:w="3020" w:type="dxa"/>
          </w:tcPr>
          <w:p w14:paraId="2D1F58AF">
            <w:pPr>
              <w:rPr>
                <w:rFonts w:ascii="宋体" w:hAnsi="宋体" w:cs="宋体"/>
                <w:sz w:val="24"/>
                <w:szCs w:val="24"/>
              </w:rPr>
            </w:pPr>
          </w:p>
        </w:tc>
        <w:tc>
          <w:tcPr>
            <w:tcW w:w="2105" w:type="dxa"/>
          </w:tcPr>
          <w:p w14:paraId="269A05A5">
            <w:pPr>
              <w:rPr>
                <w:rFonts w:hint="default" w:ascii="宋体" w:hAnsi="宋体" w:eastAsia="宋体" w:cs="宋体"/>
                <w:sz w:val="24"/>
                <w:szCs w:val="24"/>
                <w:lang w:val="en-US" w:eastAsia="zh-CN"/>
              </w:rPr>
            </w:pPr>
            <w:r>
              <w:rPr>
                <w:rFonts w:hint="eastAsia" w:ascii="宋体" w:hAnsi="宋体" w:cs="宋体"/>
                <w:sz w:val="24"/>
                <w:szCs w:val="24"/>
                <w:lang w:val="en-US" w:eastAsia="zh-CN"/>
              </w:rPr>
              <w:t>以实际需求为准</w:t>
            </w:r>
          </w:p>
        </w:tc>
      </w:tr>
      <w:tr w14:paraId="6BED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6E9A4497">
            <w:pPr>
              <w:rPr>
                <w:rFonts w:hint="default" w:ascii="宋体" w:hAnsi="宋体" w:eastAsia="宋体" w:cs="宋体"/>
                <w:sz w:val="24"/>
                <w:szCs w:val="24"/>
                <w:lang w:val="en-US" w:eastAsia="zh-CN"/>
              </w:rPr>
            </w:pPr>
            <w:r>
              <w:rPr>
                <w:rFonts w:hint="eastAsia" w:ascii="宋体" w:hAnsi="宋体" w:cs="宋体"/>
                <w:sz w:val="24"/>
                <w:szCs w:val="24"/>
                <w:lang w:val="en-US" w:eastAsia="zh-CN"/>
              </w:rPr>
              <w:t>系统应用服务、数据库及叫号相关设备日常巡检服务</w:t>
            </w:r>
          </w:p>
        </w:tc>
        <w:tc>
          <w:tcPr>
            <w:tcW w:w="1329" w:type="dxa"/>
          </w:tcPr>
          <w:p w14:paraId="76A9A926">
            <w:pPr>
              <w:rPr>
                <w:rFonts w:ascii="宋体" w:hAnsi="宋体" w:cs="宋体"/>
                <w:sz w:val="24"/>
                <w:szCs w:val="24"/>
              </w:rPr>
            </w:pPr>
          </w:p>
        </w:tc>
        <w:tc>
          <w:tcPr>
            <w:tcW w:w="3020" w:type="dxa"/>
          </w:tcPr>
          <w:p w14:paraId="6EB933ED">
            <w:pPr>
              <w:rPr>
                <w:rFonts w:hint="default" w:ascii="宋体" w:hAnsi="宋体" w:eastAsia="宋体" w:cs="宋体"/>
                <w:sz w:val="24"/>
                <w:szCs w:val="24"/>
                <w:lang w:val="en-US" w:eastAsia="zh-CN"/>
              </w:rPr>
            </w:pPr>
            <w:r>
              <w:rPr>
                <w:rFonts w:hint="eastAsia" w:ascii="宋体" w:hAnsi="宋体" w:cs="宋体"/>
                <w:sz w:val="24"/>
                <w:szCs w:val="24"/>
                <w:lang w:val="en-US" w:eastAsia="zh-CN"/>
              </w:rPr>
              <w:t>每周至少一次远程巡检，每月两次现场巡检服务</w:t>
            </w:r>
          </w:p>
        </w:tc>
        <w:tc>
          <w:tcPr>
            <w:tcW w:w="2105" w:type="dxa"/>
          </w:tcPr>
          <w:p w14:paraId="6B0FB15F">
            <w:pPr>
              <w:rPr>
                <w:rFonts w:hint="default" w:ascii="宋体" w:hAnsi="宋体" w:eastAsia="宋体" w:cs="宋体"/>
                <w:sz w:val="24"/>
                <w:szCs w:val="24"/>
                <w:lang w:val="en-US" w:eastAsia="zh-CN"/>
              </w:rPr>
            </w:pPr>
          </w:p>
        </w:tc>
      </w:tr>
      <w:tr w14:paraId="7E2D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71F77CFC">
            <w:pPr>
              <w:rPr>
                <w:rFonts w:hint="default" w:ascii="宋体" w:hAnsi="宋体" w:cs="宋体"/>
                <w:sz w:val="24"/>
                <w:szCs w:val="24"/>
                <w:lang w:val="en-US" w:eastAsia="zh-CN"/>
              </w:rPr>
            </w:pPr>
            <w:r>
              <w:rPr>
                <w:rFonts w:hint="eastAsia" w:ascii="宋体" w:hAnsi="宋体" w:cs="宋体"/>
                <w:sz w:val="24"/>
                <w:szCs w:val="24"/>
                <w:lang w:val="en-US" w:eastAsia="zh-CN"/>
              </w:rPr>
              <w:t>系统应急处理及重大灾难事件后数据恢复协助</w:t>
            </w:r>
          </w:p>
        </w:tc>
        <w:tc>
          <w:tcPr>
            <w:tcW w:w="1329" w:type="dxa"/>
          </w:tcPr>
          <w:p w14:paraId="3D6E7C90">
            <w:pPr>
              <w:rPr>
                <w:rFonts w:ascii="宋体" w:hAnsi="宋体" w:cs="宋体"/>
                <w:sz w:val="24"/>
                <w:szCs w:val="24"/>
              </w:rPr>
            </w:pPr>
          </w:p>
        </w:tc>
        <w:tc>
          <w:tcPr>
            <w:tcW w:w="3020" w:type="dxa"/>
          </w:tcPr>
          <w:p w14:paraId="2FEB100A">
            <w:pPr>
              <w:rPr>
                <w:rFonts w:ascii="宋体" w:hAnsi="宋体" w:cs="宋体"/>
                <w:sz w:val="24"/>
                <w:szCs w:val="24"/>
              </w:rPr>
            </w:pPr>
          </w:p>
        </w:tc>
        <w:tc>
          <w:tcPr>
            <w:tcW w:w="2105" w:type="dxa"/>
          </w:tcPr>
          <w:p w14:paraId="220474F9">
            <w:pPr>
              <w:rPr>
                <w:rFonts w:hint="default" w:ascii="宋体" w:hAnsi="宋体" w:eastAsia="宋体" w:cs="宋体"/>
                <w:sz w:val="24"/>
                <w:szCs w:val="24"/>
                <w:lang w:val="en-US" w:eastAsia="zh-CN"/>
              </w:rPr>
            </w:pPr>
          </w:p>
        </w:tc>
      </w:tr>
    </w:tbl>
    <w:p w14:paraId="1E07FD86">
      <w:pPr>
        <w:ind w:firstLine="1328" w:firstLineChars="551"/>
        <w:rPr>
          <w:rFonts w:ascii="宋体" w:hAnsi="宋体" w:cs="宋体"/>
          <w:b/>
          <w:bCs/>
          <w:sz w:val="24"/>
          <w:szCs w:val="24"/>
        </w:rPr>
      </w:pPr>
    </w:p>
    <w:p w14:paraId="5284250E">
      <w:pPr>
        <w:rPr>
          <w:rFonts w:ascii="宋体" w:hAnsi="宋体" w:cs="宋体"/>
          <w:b/>
          <w:bCs/>
          <w:sz w:val="24"/>
          <w:szCs w:val="24"/>
        </w:rPr>
      </w:pPr>
      <w:r>
        <w:rPr>
          <w:rFonts w:hint="eastAsia" w:ascii="宋体" w:hAnsi="宋体" w:cs="宋体"/>
          <w:b/>
          <w:bCs/>
          <w:sz w:val="24"/>
          <w:szCs w:val="24"/>
        </w:rPr>
        <w:t>（二）维保服务要求</w:t>
      </w:r>
    </w:p>
    <w:p w14:paraId="328E7ED3">
      <w:pPr>
        <w:numPr>
          <w:ilvl w:val="0"/>
          <w:numId w:val="3"/>
        </w:numPr>
        <w:ind w:firstLine="480" w:firstLineChars="200"/>
        <w:rPr>
          <w:rFonts w:ascii="宋体" w:hAnsi="宋体" w:cs="宋体"/>
          <w:sz w:val="24"/>
          <w:szCs w:val="24"/>
        </w:rPr>
      </w:pPr>
      <w:r>
        <w:rPr>
          <w:rFonts w:hint="eastAsia" w:ascii="宋体" w:hAnsi="宋体" w:cs="宋体"/>
          <w:sz w:val="24"/>
          <w:szCs w:val="24"/>
        </w:rPr>
        <w:t>乙方应按照国家有关法律法规规章规定以及采购、投标文件所规定的“服务承诺”提供服务。</w:t>
      </w:r>
    </w:p>
    <w:p w14:paraId="1FA43E58">
      <w:pPr>
        <w:numPr>
          <w:ilvl w:val="0"/>
          <w:numId w:val="3"/>
        </w:numPr>
        <w:ind w:firstLine="480" w:firstLineChars="200"/>
        <w:rPr>
          <w:rFonts w:ascii="宋体" w:hAnsi="宋体" w:cs="宋体"/>
          <w:sz w:val="24"/>
          <w:szCs w:val="24"/>
        </w:rPr>
      </w:pPr>
      <w:r>
        <w:rPr>
          <w:rFonts w:hint="eastAsia" w:ascii="宋体" w:hAnsi="宋体" w:cs="宋体"/>
          <w:sz w:val="24"/>
          <w:szCs w:val="24"/>
        </w:rPr>
        <w:t>本次维保内容主要为门诊叫号全套软件系统维保</w:t>
      </w:r>
      <w:r>
        <w:rPr>
          <w:rFonts w:hint="eastAsia" w:ascii="宋体" w:hAnsi="宋体" w:cs="宋体"/>
          <w:sz w:val="24"/>
          <w:szCs w:val="24"/>
          <w:lang w:eastAsia="zh-CN"/>
        </w:rPr>
        <w:t>、</w:t>
      </w:r>
      <w:r>
        <w:rPr>
          <w:rFonts w:hint="eastAsia" w:ascii="宋体" w:hAnsi="宋体" w:cs="宋体"/>
          <w:sz w:val="24"/>
          <w:szCs w:val="24"/>
        </w:rPr>
        <w:t>硬件对接管理，系统更新优化、第三方对接、报表开发</w:t>
      </w:r>
      <w:r>
        <w:rPr>
          <w:rFonts w:hint="eastAsia" w:ascii="宋体" w:hAnsi="宋体" w:cs="宋体"/>
          <w:sz w:val="24"/>
          <w:szCs w:val="24"/>
          <w:lang w:val="en-US" w:eastAsia="zh-CN"/>
        </w:rPr>
        <w:t>及部分硬件设备的故障维修和配件更换</w:t>
      </w:r>
      <w:r>
        <w:rPr>
          <w:rFonts w:hint="eastAsia" w:ascii="宋体" w:hAnsi="宋体" w:cs="宋体"/>
          <w:sz w:val="24"/>
          <w:szCs w:val="24"/>
        </w:rPr>
        <w:t>等</w:t>
      </w:r>
    </w:p>
    <w:p w14:paraId="7AF879B3">
      <w:pPr>
        <w:ind w:firstLine="480" w:firstLineChars="200"/>
        <w:rPr>
          <w:rFonts w:ascii="宋体" w:hAnsi="宋体" w:cs="宋体"/>
          <w:sz w:val="24"/>
          <w:szCs w:val="24"/>
        </w:rPr>
      </w:pPr>
      <w:r>
        <w:rPr>
          <w:rFonts w:hint="eastAsia" w:ascii="宋体" w:hAnsi="宋体" w:cs="宋体"/>
          <w:sz w:val="24"/>
          <w:szCs w:val="24"/>
        </w:rPr>
        <w:t>3.除前款规定外，乙方还应提供下列服务：</w:t>
      </w:r>
    </w:p>
    <w:p w14:paraId="2961D006">
      <w:pPr>
        <w:ind w:firstLine="480" w:firstLineChars="200"/>
        <w:rPr>
          <w:rFonts w:ascii="宋体" w:hAnsi="宋体" w:cs="宋体"/>
          <w:sz w:val="24"/>
          <w:szCs w:val="24"/>
        </w:rPr>
      </w:pPr>
      <w:r>
        <w:rPr>
          <w:rFonts w:hint="eastAsia" w:ascii="宋体" w:hAnsi="宋体" w:cs="宋体"/>
          <w:sz w:val="24"/>
          <w:szCs w:val="24"/>
        </w:rPr>
        <w:t>（1）维保期内乙方提供专人负责本项目并提供7×24小时技术服务和免费上门维护服务，质保费用计入总价。</w:t>
      </w:r>
    </w:p>
    <w:p w14:paraId="287643BB">
      <w:pPr>
        <w:ind w:firstLine="480" w:firstLineChars="200"/>
        <w:rPr>
          <w:rFonts w:ascii="宋体" w:hAnsi="宋体" w:cs="宋体"/>
          <w:sz w:val="24"/>
          <w:szCs w:val="24"/>
        </w:rPr>
      </w:pPr>
      <w:r>
        <w:rPr>
          <w:rFonts w:hint="eastAsia" w:ascii="宋体" w:hAnsi="宋体" w:cs="宋体"/>
          <w:sz w:val="24"/>
          <w:szCs w:val="24"/>
        </w:rPr>
        <w:t>（2）乙方在接到甲方报修电话后15分钟之内响应，2小时内到达现场，4小时内解决问题，否则甲方可自行采取必要的措施，由此产生的风险和费用由乙方承担。如有特殊情况，乙方应立即电话通知甲方不能响应的原因，在获得甲方同意后，才可推迟响应时间。</w:t>
      </w:r>
    </w:p>
    <w:p w14:paraId="5C1136B2">
      <w:pPr>
        <w:ind w:firstLine="480" w:firstLineChars="200"/>
        <w:rPr>
          <w:rFonts w:ascii="宋体" w:hAnsi="宋体" w:cs="宋体"/>
          <w:sz w:val="24"/>
          <w:szCs w:val="24"/>
        </w:rPr>
      </w:pPr>
      <w:r>
        <w:rPr>
          <w:rFonts w:hint="eastAsia" w:ascii="宋体" w:hAnsi="宋体" w:cs="宋体"/>
          <w:sz w:val="24"/>
          <w:szCs w:val="24"/>
        </w:rPr>
        <w:t>（3）维保期内乙方应每年至少提供 4 次定期现场维护及巡检。质保记录应经甲方负责人签字确认并留有书面记录备查，维保期内，若乙方未按质保要求进行质保服务或缺少巡检质保记录，乙方须向甲方支付违约金1000元/次。</w:t>
      </w:r>
    </w:p>
    <w:p w14:paraId="1B6C3BBC">
      <w:pPr>
        <w:ind w:firstLine="480" w:firstLineChars="200"/>
        <w:rPr>
          <w:rFonts w:ascii="宋体" w:hAnsi="宋体" w:cs="宋体"/>
          <w:sz w:val="24"/>
          <w:szCs w:val="24"/>
        </w:rPr>
      </w:pPr>
      <w:r>
        <w:rPr>
          <w:rFonts w:hint="eastAsia" w:ascii="宋体" w:hAnsi="宋体" w:cs="宋体"/>
          <w:sz w:val="24"/>
          <w:szCs w:val="24"/>
        </w:rPr>
        <w:t>（5）无论在维保期内还是维保期外，乙方工程师按照甲方指定的方式或指定地点进行维护，必须做好维保记录，包括但不限于：服务人员出入记录、服务开始时间、服务结束时间、服务人员姓名、服务人数、服务地点、服务内容、服务结果等。否则引起的一切责任由乙方负责。</w:t>
      </w:r>
    </w:p>
    <w:p w14:paraId="223C5272">
      <w:pPr>
        <w:ind w:firstLine="480" w:firstLineChars="200"/>
        <w:rPr>
          <w:rFonts w:ascii="宋体" w:hAnsi="宋体" w:cs="宋体"/>
          <w:sz w:val="24"/>
          <w:szCs w:val="24"/>
        </w:rPr>
      </w:pPr>
      <w:r>
        <w:rPr>
          <w:rFonts w:hint="eastAsia" w:ascii="宋体" w:hAnsi="宋体" w:cs="宋体"/>
          <w:sz w:val="24"/>
          <w:szCs w:val="24"/>
        </w:rPr>
        <w:t>（6）乙方负责免费软件升级，保证软件为最新、最高版本。</w:t>
      </w:r>
    </w:p>
    <w:p w14:paraId="7F33AD43">
      <w:pPr>
        <w:ind w:firstLine="480" w:firstLineChars="200"/>
        <w:rPr>
          <w:rFonts w:ascii="宋体" w:hAnsi="宋体" w:cs="宋体"/>
          <w:sz w:val="24"/>
          <w:szCs w:val="24"/>
        </w:rPr>
      </w:pPr>
      <w:r>
        <w:rPr>
          <w:rFonts w:hint="eastAsia" w:ascii="宋体" w:hAnsi="宋体" w:cs="宋体"/>
          <w:sz w:val="24"/>
          <w:szCs w:val="24"/>
        </w:rPr>
        <w:t>（7）乙方需要提供重大活动现场应急保障。</w:t>
      </w:r>
    </w:p>
    <w:p w14:paraId="7C8AD8F9">
      <w:pPr>
        <w:ind w:firstLine="480" w:firstLineChars="200"/>
        <w:rPr>
          <w:rFonts w:ascii="宋体" w:hAnsi="宋体" w:cs="宋体"/>
          <w:sz w:val="24"/>
          <w:szCs w:val="24"/>
        </w:rPr>
      </w:pPr>
      <w:r>
        <w:rPr>
          <w:rFonts w:hint="eastAsia" w:ascii="宋体" w:hAnsi="宋体" w:cs="宋体"/>
          <w:sz w:val="24"/>
          <w:szCs w:val="24"/>
        </w:rPr>
        <w:t>（8）政策性文件要求，乙方需及时全程配合甲方进行相关接口开发。</w:t>
      </w:r>
    </w:p>
    <w:p w14:paraId="75B2CF8D">
      <w:pPr>
        <w:ind w:firstLine="480" w:firstLineChars="200"/>
        <w:rPr>
          <w:rFonts w:ascii="宋体" w:hAnsi="宋体" w:cs="宋体"/>
          <w:sz w:val="24"/>
          <w:szCs w:val="24"/>
        </w:rPr>
      </w:pPr>
      <w:r>
        <w:rPr>
          <w:rFonts w:hint="eastAsia" w:ascii="宋体" w:hAnsi="宋体" w:cs="宋体"/>
          <w:sz w:val="24"/>
          <w:szCs w:val="24"/>
        </w:rPr>
        <w:t>（9）乙方需配合院方后续临床业务闭环流程优化。</w:t>
      </w:r>
    </w:p>
    <w:p w14:paraId="67D1413E">
      <w:pPr>
        <w:ind w:firstLine="480" w:firstLineChars="200"/>
        <w:rPr>
          <w:rFonts w:ascii="宋体" w:hAnsi="宋体" w:cs="宋体"/>
          <w:sz w:val="24"/>
          <w:szCs w:val="24"/>
        </w:rPr>
      </w:pPr>
      <w:r>
        <w:rPr>
          <w:rFonts w:hint="eastAsia" w:ascii="宋体" w:hAnsi="宋体" w:cs="宋体"/>
          <w:sz w:val="24"/>
          <w:szCs w:val="24"/>
        </w:rPr>
        <w:t>（10）乙方负责逐步将诊区叫号屏系统由windows更换为安卓系统，以应对诊间屏主机故障频发的现象。</w:t>
      </w:r>
    </w:p>
    <w:p w14:paraId="61C0CC73">
      <w:pPr>
        <w:ind w:firstLine="480" w:firstLineChars="200"/>
        <w:rPr>
          <w:rFonts w:ascii="宋体" w:hAnsi="宋体" w:cs="宋体"/>
          <w:sz w:val="24"/>
          <w:szCs w:val="24"/>
        </w:rPr>
      </w:pPr>
      <w:r>
        <w:rPr>
          <w:rFonts w:hint="eastAsia" w:ascii="宋体" w:hAnsi="宋体" w:cs="宋体"/>
          <w:sz w:val="24"/>
          <w:szCs w:val="24"/>
        </w:rPr>
        <w:t>（11）若货物故障在检修8工作小时后仍无法排除，乙方应在48小时内免费提供不低于故障货物规格型号档次的备用货物供甲方使用，直至故障货物修复。同时乙方承担货物因需要返厂维修而产生运输、搬运等相关费用。</w:t>
      </w:r>
    </w:p>
    <w:p w14:paraId="3C704B51">
      <w:pPr>
        <w:ind w:firstLine="480" w:firstLineChars="200"/>
        <w:rPr>
          <w:rFonts w:ascii="宋体" w:hAnsi="宋体" w:cs="宋体"/>
          <w:sz w:val="24"/>
          <w:szCs w:val="24"/>
        </w:rPr>
      </w:pPr>
      <w:r>
        <w:rPr>
          <w:rFonts w:hint="eastAsia" w:ascii="宋体" w:hAnsi="宋体" w:cs="宋体"/>
          <w:sz w:val="24"/>
          <w:szCs w:val="24"/>
        </w:rPr>
        <w:t>（12）技术培训：在安装过程中或安装结束后，乙方工程师或有关人员有义务对甲方工程师和操作人员进行现场维护、操作培训并提供快捷操作指南，解答甲方人员提出的问题。必要时提供正规培训班培训，确保操作人员掌握完成日常工作所需的基本操作方法为止，工程师掌握基本的维护操作技术为止。</w:t>
      </w:r>
    </w:p>
    <w:p w14:paraId="3B063FB6">
      <w:pPr>
        <w:ind w:firstLine="480" w:firstLineChars="200"/>
        <w:rPr>
          <w:rFonts w:ascii="宋体" w:hAnsi="宋体" w:cs="宋体"/>
          <w:sz w:val="24"/>
          <w:szCs w:val="24"/>
        </w:rPr>
      </w:pPr>
      <w:r>
        <w:rPr>
          <w:rFonts w:hint="eastAsia" w:ascii="宋体" w:hAnsi="宋体" w:cs="宋体"/>
          <w:sz w:val="24"/>
          <w:szCs w:val="24"/>
        </w:rPr>
        <w:t>涉及范围，门诊排队叫号，大厅专家介绍，检查排队叫号，检验排队叫号，输液室排队叫号，换药室排队叫号，药房排队叫号，住院处排队叫号</w:t>
      </w:r>
    </w:p>
    <w:p w14:paraId="79C7086C">
      <w:pPr>
        <w:rPr>
          <w:rFonts w:ascii="宋体" w:hAnsi="宋体" w:cs="宋体"/>
          <w:sz w:val="24"/>
          <w:szCs w:val="24"/>
        </w:rPr>
      </w:pPr>
    </w:p>
    <w:p w14:paraId="639B193C">
      <w:pPr>
        <w:rPr>
          <w:rFonts w:ascii="宋体" w:hAnsi="宋体" w:cs="宋体"/>
          <w:sz w:val="24"/>
          <w:szCs w:val="24"/>
        </w:rPr>
      </w:pPr>
      <w:r>
        <w:rPr>
          <w:rFonts w:hint="eastAsia" w:ascii="宋体" w:hAnsi="宋体" w:cs="宋体"/>
          <w:sz w:val="24"/>
          <w:szCs w:val="24"/>
        </w:rPr>
        <w:t>二、</w:t>
      </w:r>
      <w:r>
        <w:rPr>
          <w:rFonts w:hint="eastAsia" w:ascii="宋体" w:hAnsi="宋体" w:cs="宋体"/>
          <w:b/>
          <w:bCs/>
          <w:sz w:val="24"/>
          <w:szCs w:val="24"/>
        </w:rPr>
        <w:t>商务条款（根据本内容填写《商务条款偏离表》要求逐一响应，原则上均须全部响应，有一项不响应或未提供视为无效投标）</w:t>
      </w:r>
    </w:p>
    <w:p w14:paraId="5023F254">
      <w:pPr>
        <w:rPr>
          <w:rFonts w:ascii="宋体" w:hAnsi="宋体" w:cs="宋体"/>
          <w:sz w:val="24"/>
          <w:szCs w:val="24"/>
        </w:rPr>
      </w:pPr>
      <w:r>
        <w:rPr>
          <w:rFonts w:hint="eastAsia" w:ascii="宋体" w:hAnsi="宋体" w:cs="宋体"/>
          <w:sz w:val="24"/>
          <w:szCs w:val="24"/>
        </w:rPr>
        <w:t>（一）服务时间：三年，合同一年一签。甲方根据乙方的服务情况决定是否与乙方续签下一年度的合同。</w:t>
      </w:r>
    </w:p>
    <w:p w14:paraId="0E147110">
      <w:pPr>
        <w:rPr>
          <w:rFonts w:ascii="宋体" w:hAnsi="宋体" w:cs="宋体"/>
          <w:sz w:val="24"/>
          <w:szCs w:val="24"/>
        </w:rPr>
      </w:pPr>
      <w:r>
        <w:rPr>
          <w:rFonts w:hint="eastAsia" w:ascii="宋体" w:hAnsi="宋体" w:cs="宋体"/>
          <w:sz w:val="24"/>
          <w:szCs w:val="24"/>
        </w:rPr>
        <w:t>（二）付款方式：每年度服务期满后，乙方开具符合国家规定的发票，甲方按医院正常付款流程支付全款。</w:t>
      </w:r>
    </w:p>
    <w:p w14:paraId="41421F8C">
      <w:pPr>
        <w:rPr>
          <w:rFonts w:ascii="宋体" w:hAnsi="宋体" w:cs="宋体"/>
          <w:sz w:val="24"/>
          <w:szCs w:val="24"/>
        </w:rPr>
      </w:pPr>
      <w:r>
        <w:rPr>
          <w:rFonts w:hint="eastAsia" w:ascii="宋体" w:hAnsi="宋体" w:cs="宋体"/>
          <w:sz w:val="24"/>
          <w:szCs w:val="24"/>
        </w:rPr>
        <w:t>（三）违约责任</w:t>
      </w:r>
    </w:p>
    <w:p w14:paraId="20C10232">
      <w:pPr>
        <w:ind w:firstLine="480" w:firstLineChars="200"/>
        <w:rPr>
          <w:rFonts w:ascii="宋体" w:hAnsi="宋体" w:cs="宋体"/>
          <w:sz w:val="24"/>
          <w:szCs w:val="24"/>
        </w:rPr>
      </w:pPr>
      <w:r>
        <w:rPr>
          <w:rFonts w:hint="eastAsia" w:ascii="宋体" w:hAnsi="宋体" w:cs="宋体"/>
          <w:sz w:val="24"/>
          <w:szCs w:val="24"/>
        </w:rPr>
        <w:t>乙方必须在维保期内保证甲方投保软硬件的正常运行，不得拖延维修时间或恶意逃避责任，如果对甲方产生业务影响，乙方应按合同总价的30%向甲方承担赔偿责任。</w:t>
      </w:r>
    </w:p>
    <w:p w14:paraId="1E9CB5B4">
      <w:pPr>
        <w:rPr>
          <w:rFonts w:hint="default" w:ascii="宋体" w:hAnsi="宋体" w:cs="宋体"/>
          <w:sz w:val="24"/>
          <w:szCs w:val="24"/>
          <w:lang w:val="en-US" w:eastAsia="zh-CN"/>
        </w:rPr>
      </w:pPr>
      <w:r>
        <w:rPr>
          <w:rFonts w:hint="eastAsia" w:ascii="宋体" w:hAnsi="宋体" w:cs="宋体"/>
          <w:sz w:val="24"/>
          <w:szCs w:val="24"/>
        </w:rPr>
        <w:t>（四）</w:t>
      </w:r>
      <w:r>
        <w:rPr>
          <w:rFonts w:hint="eastAsia" w:ascii="宋体" w:hAnsi="宋体" w:cs="宋体"/>
          <w:sz w:val="24"/>
          <w:szCs w:val="24"/>
          <w:lang w:val="en-US" w:eastAsia="zh-CN"/>
        </w:rPr>
        <w:t>乙方在维保期间必须保持认真负责的态度，积极快速的及时解决系统问题，持续优化系统功能，积极响应甲方系统需求，并将接受甲方的维保考核，考核不及格将对维保金额进行扣罚处理。（考核表见下表）</w:t>
      </w:r>
    </w:p>
    <w:p w14:paraId="0F7435BC">
      <w:pPr>
        <w:spacing w:line="360" w:lineRule="auto"/>
        <w:jc w:val="center"/>
        <w:rPr>
          <w:rFonts w:ascii="黑体" w:hAnsi="宋体" w:eastAsia="黑体"/>
          <w:sz w:val="36"/>
          <w:szCs w:val="36"/>
        </w:rPr>
      </w:pPr>
      <w:r>
        <w:rPr>
          <w:rFonts w:hint="eastAsia" w:ascii="黑体" w:hAnsi="宋体" w:eastAsia="黑体"/>
          <w:sz w:val="36"/>
          <w:szCs w:val="36"/>
        </w:rPr>
        <w:t xml:space="preserve">   维保服务年度考核表      </w:t>
      </w:r>
      <w:r>
        <w:rPr>
          <w:rFonts w:hint="eastAsia" w:ascii="黑体" w:hAnsi="宋体" w:eastAsia="黑体"/>
        </w:rPr>
        <w:t>日期：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51"/>
        <w:gridCol w:w="1391"/>
        <w:gridCol w:w="846"/>
        <w:gridCol w:w="1007"/>
        <w:gridCol w:w="3119"/>
      </w:tblGrid>
      <w:tr w14:paraId="4428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783E3766">
            <w:pPr>
              <w:spacing w:line="360" w:lineRule="auto"/>
              <w:jc w:val="center"/>
              <w:rPr>
                <w:rFonts w:ascii="宋体" w:hAnsi="宋体"/>
              </w:rPr>
            </w:pPr>
            <w:r>
              <w:rPr>
                <w:rFonts w:hint="eastAsia" w:ascii="宋体" w:hAnsi="宋体"/>
              </w:rPr>
              <w:t>序号</w:t>
            </w:r>
          </w:p>
        </w:tc>
        <w:tc>
          <w:tcPr>
            <w:tcW w:w="2542" w:type="dxa"/>
            <w:gridSpan w:val="2"/>
          </w:tcPr>
          <w:p w14:paraId="05E0368D">
            <w:pPr>
              <w:spacing w:line="360" w:lineRule="auto"/>
              <w:jc w:val="center"/>
              <w:rPr>
                <w:rFonts w:ascii="宋体" w:hAnsi="宋体"/>
              </w:rPr>
            </w:pPr>
            <w:r>
              <w:rPr>
                <w:rFonts w:hint="eastAsia" w:ascii="宋体" w:hAnsi="宋体"/>
              </w:rPr>
              <w:t>考核项目/子项</w:t>
            </w:r>
          </w:p>
        </w:tc>
        <w:tc>
          <w:tcPr>
            <w:tcW w:w="846" w:type="dxa"/>
          </w:tcPr>
          <w:p w14:paraId="05996152">
            <w:pPr>
              <w:spacing w:line="360" w:lineRule="auto"/>
              <w:jc w:val="center"/>
              <w:rPr>
                <w:rFonts w:ascii="宋体" w:hAnsi="宋体"/>
              </w:rPr>
            </w:pPr>
            <w:r>
              <w:rPr>
                <w:rFonts w:hint="eastAsia" w:ascii="宋体" w:hAnsi="宋体"/>
              </w:rPr>
              <w:t>满分值</w:t>
            </w:r>
          </w:p>
        </w:tc>
        <w:tc>
          <w:tcPr>
            <w:tcW w:w="1007" w:type="dxa"/>
          </w:tcPr>
          <w:p w14:paraId="68372CB3">
            <w:pPr>
              <w:spacing w:line="360" w:lineRule="auto"/>
              <w:jc w:val="center"/>
              <w:rPr>
                <w:rFonts w:ascii="宋体" w:hAnsi="宋体"/>
              </w:rPr>
            </w:pPr>
            <w:r>
              <w:rPr>
                <w:rFonts w:hint="eastAsia" w:ascii="宋体" w:hAnsi="宋体"/>
              </w:rPr>
              <w:t>评分</w:t>
            </w:r>
          </w:p>
        </w:tc>
        <w:tc>
          <w:tcPr>
            <w:tcW w:w="3119" w:type="dxa"/>
          </w:tcPr>
          <w:p w14:paraId="27BACBC9">
            <w:pPr>
              <w:spacing w:line="360" w:lineRule="auto"/>
              <w:jc w:val="center"/>
              <w:rPr>
                <w:rFonts w:ascii="宋体" w:hAnsi="宋体"/>
              </w:rPr>
            </w:pPr>
            <w:r>
              <w:rPr>
                <w:rFonts w:hint="eastAsia" w:ascii="宋体" w:hAnsi="宋体"/>
              </w:rPr>
              <w:t>计分方式</w:t>
            </w:r>
          </w:p>
        </w:tc>
      </w:tr>
      <w:tr w14:paraId="5932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65DDCA3A">
            <w:pPr>
              <w:spacing w:line="360" w:lineRule="auto"/>
              <w:rPr>
                <w:rFonts w:ascii="宋体" w:hAnsi="宋体"/>
              </w:rPr>
            </w:pPr>
            <w:r>
              <w:rPr>
                <w:rFonts w:hint="eastAsia" w:ascii="宋体" w:hAnsi="宋体"/>
              </w:rPr>
              <w:t>1</w:t>
            </w:r>
          </w:p>
        </w:tc>
        <w:tc>
          <w:tcPr>
            <w:tcW w:w="2542" w:type="dxa"/>
            <w:gridSpan w:val="2"/>
          </w:tcPr>
          <w:p w14:paraId="08A3F66E">
            <w:pPr>
              <w:spacing w:line="360" w:lineRule="auto"/>
              <w:rPr>
                <w:rFonts w:ascii="宋体" w:hAnsi="宋体"/>
              </w:rPr>
            </w:pPr>
            <w:r>
              <w:rPr>
                <w:rFonts w:hint="eastAsia" w:ascii="宋体" w:hAnsi="宋体"/>
              </w:rPr>
              <w:t>工作量完成情况</w:t>
            </w:r>
          </w:p>
        </w:tc>
        <w:tc>
          <w:tcPr>
            <w:tcW w:w="846" w:type="dxa"/>
          </w:tcPr>
          <w:p w14:paraId="153187E5">
            <w:pPr>
              <w:spacing w:line="360" w:lineRule="auto"/>
              <w:jc w:val="center"/>
              <w:rPr>
                <w:rFonts w:ascii="宋体" w:hAnsi="宋体"/>
              </w:rPr>
            </w:pPr>
            <w:r>
              <w:rPr>
                <w:rFonts w:hint="eastAsia" w:ascii="宋体" w:hAnsi="宋体"/>
              </w:rPr>
              <w:t>【30】</w:t>
            </w:r>
          </w:p>
        </w:tc>
        <w:tc>
          <w:tcPr>
            <w:tcW w:w="1007" w:type="dxa"/>
          </w:tcPr>
          <w:p w14:paraId="28371CEE">
            <w:pPr>
              <w:spacing w:line="360" w:lineRule="auto"/>
              <w:jc w:val="center"/>
              <w:rPr>
                <w:rFonts w:ascii="宋体" w:hAnsi="宋体"/>
              </w:rPr>
            </w:pPr>
            <w:r>
              <w:rPr>
                <w:rFonts w:hint="eastAsia" w:ascii="宋体" w:hAnsi="宋体"/>
              </w:rPr>
              <w:t>/</w:t>
            </w:r>
          </w:p>
        </w:tc>
        <w:tc>
          <w:tcPr>
            <w:tcW w:w="3119" w:type="dxa"/>
            <w:vMerge w:val="restart"/>
          </w:tcPr>
          <w:p w14:paraId="655DADE6">
            <w:pPr>
              <w:spacing w:line="360" w:lineRule="auto"/>
              <w:rPr>
                <w:rFonts w:ascii="宋体" w:hAnsi="宋体"/>
                <w:sz w:val="18"/>
                <w:szCs w:val="18"/>
              </w:rPr>
            </w:pPr>
            <w:r>
              <w:rPr>
                <w:rFonts w:hint="eastAsia" w:ascii="宋体" w:hAnsi="宋体"/>
                <w:sz w:val="18"/>
                <w:szCs w:val="18"/>
              </w:rPr>
              <w:t>1、现场故障处理未能及时处理每发现一次扣3分，三次及以上未完成分全扣。</w:t>
            </w:r>
          </w:p>
          <w:p w14:paraId="55E54FC8">
            <w:pPr>
              <w:spacing w:line="360" w:lineRule="auto"/>
              <w:rPr>
                <w:rFonts w:ascii="宋体" w:hAnsi="宋体"/>
              </w:rPr>
            </w:pPr>
            <w:r>
              <w:rPr>
                <w:rFonts w:hint="eastAsia" w:ascii="宋体" w:hAnsi="宋体"/>
                <w:sz w:val="18"/>
                <w:szCs w:val="18"/>
              </w:rPr>
              <w:t>2、每周巡检一次，每次巡检完需提供相应的巡检报告并装订成册，未完成扣除相应分值。</w:t>
            </w:r>
          </w:p>
        </w:tc>
      </w:tr>
      <w:tr w14:paraId="4CDF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04AACE9F">
            <w:pPr>
              <w:spacing w:line="360" w:lineRule="auto"/>
              <w:jc w:val="right"/>
              <w:rPr>
                <w:rFonts w:ascii="宋体" w:hAnsi="宋体"/>
              </w:rPr>
            </w:pPr>
            <w:r>
              <w:rPr>
                <w:rFonts w:hint="eastAsia" w:ascii="宋体" w:hAnsi="宋体"/>
              </w:rPr>
              <w:t>1.1</w:t>
            </w:r>
          </w:p>
        </w:tc>
        <w:tc>
          <w:tcPr>
            <w:tcW w:w="2542" w:type="dxa"/>
            <w:gridSpan w:val="2"/>
          </w:tcPr>
          <w:p w14:paraId="27C54CC1">
            <w:pPr>
              <w:spacing w:line="360" w:lineRule="auto"/>
              <w:rPr>
                <w:rFonts w:ascii="宋体" w:hAnsi="宋体"/>
              </w:rPr>
            </w:pPr>
            <w:r>
              <w:rPr>
                <w:rFonts w:hint="eastAsia" w:ascii="宋体" w:hAnsi="宋体"/>
              </w:rPr>
              <w:t>现场故障处理</w:t>
            </w:r>
          </w:p>
        </w:tc>
        <w:tc>
          <w:tcPr>
            <w:tcW w:w="846" w:type="dxa"/>
          </w:tcPr>
          <w:p w14:paraId="571E5B48">
            <w:pPr>
              <w:spacing w:line="360" w:lineRule="auto"/>
              <w:jc w:val="center"/>
              <w:rPr>
                <w:rFonts w:ascii="宋体" w:hAnsi="宋体"/>
              </w:rPr>
            </w:pPr>
            <w:r>
              <w:rPr>
                <w:rFonts w:hint="eastAsia" w:ascii="宋体" w:hAnsi="宋体"/>
              </w:rPr>
              <w:t>15</w:t>
            </w:r>
          </w:p>
        </w:tc>
        <w:tc>
          <w:tcPr>
            <w:tcW w:w="1007" w:type="dxa"/>
          </w:tcPr>
          <w:p w14:paraId="42A0CAD3">
            <w:pPr>
              <w:spacing w:line="360" w:lineRule="auto"/>
              <w:jc w:val="center"/>
              <w:rPr>
                <w:rFonts w:ascii="宋体" w:hAnsi="宋体"/>
              </w:rPr>
            </w:pPr>
          </w:p>
        </w:tc>
        <w:tc>
          <w:tcPr>
            <w:tcW w:w="3119" w:type="dxa"/>
            <w:vMerge w:val="continue"/>
          </w:tcPr>
          <w:p w14:paraId="2D91C92F">
            <w:pPr>
              <w:spacing w:line="360" w:lineRule="auto"/>
              <w:rPr>
                <w:rFonts w:ascii="宋体" w:hAnsi="宋体"/>
              </w:rPr>
            </w:pPr>
          </w:p>
        </w:tc>
      </w:tr>
      <w:tr w14:paraId="4B2E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420930F">
            <w:pPr>
              <w:spacing w:line="360" w:lineRule="auto"/>
              <w:jc w:val="right"/>
              <w:rPr>
                <w:rFonts w:ascii="宋体" w:hAnsi="宋体"/>
              </w:rPr>
            </w:pPr>
            <w:r>
              <w:rPr>
                <w:rFonts w:hint="eastAsia" w:ascii="宋体" w:hAnsi="宋体"/>
              </w:rPr>
              <w:t>1.2</w:t>
            </w:r>
          </w:p>
        </w:tc>
        <w:tc>
          <w:tcPr>
            <w:tcW w:w="2542" w:type="dxa"/>
            <w:gridSpan w:val="2"/>
          </w:tcPr>
          <w:p w14:paraId="30B69139">
            <w:pPr>
              <w:spacing w:line="360" w:lineRule="auto"/>
              <w:rPr>
                <w:rFonts w:ascii="宋体" w:hAnsi="宋体"/>
              </w:rPr>
            </w:pPr>
            <w:r>
              <w:rPr>
                <w:rFonts w:hint="eastAsia" w:ascii="宋体" w:hAnsi="宋体"/>
              </w:rPr>
              <w:t>巡检-报道机及相关硬件</w:t>
            </w:r>
          </w:p>
        </w:tc>
        <w:tc>
          <w:tcPr>
            <w:tcW w:w="846" w:type="dxa"/>
          </w:tcPr>
          <w:p w14:paraId="66EE0B53">
            <w:pPr>
              <w:spacing w:line="360" w:lineRule="auto"/>
              <w:jc w:val="center"/>
              <w:rPr>
                <w:rFonts w:ascii="宋体" w:hAnsi="宋体"/>
              </w:rPr>
            </w:pPr>
            <w:r>
              <w:rPr>
                <w:rFonts w:hint="eastAsia" w:ascii="宋体" w:hAnsi="宋体"/>
              </w:rPr>
              <w:t>5</w:t>
            </w:r>
          </w:p>
        </w:tc>
        <w:tc>
          <w:tcPr>
            <w:tcW w:w="1007" w:type="dxa"/>
          </w:tcPr>
          <w:p w14:paraId="55356444">
            <w:pPr>
              <w:spacing w:line="360" w:lineRule="auto"/>
              <w:jc w:val="center"/>
              <w:rPr>
                <w:rFonts w:ascii="宋体" w:hAnsi="宋体"/>
              </w:rPr>
            </w:pPr>
          </w:p>
        </w:tc>
        <w:tc>
          <w:tcPr>
            <w:tcW w:w="3119" w:type="dxa"/>
            <w:vMerge w:val="continue"/>
          </w:tcPr>
          <w:p w14:paraId="7C545ADE">
            <w:pPr>
              <w:spacing w:line="360" w:lineRule="auto"/>
              <w:rPr>
                <w:rFonts w:ascii="宋体" w:hAnsi="宋体"/>
              </w:rPr>
            </w:pPr>
          </w:p>
        </w:tc>
      </w:tr>
      <w:tr w14:paraId="7735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631A2271">
            <w:pPr>
              <w:spacing w:line="360" w:lineRule="auto"/>
              <w:jc w:val="right"/>
              <w:rPr>
                <w:rFonts w:ascii="宋体" w:hAnsi="宋体"/>
              </w:rPr>
            </w:pPr>
            <w:r>
              <w:rPr>
                <w:rFonts w:hint="eastAsia" w:ascii="宋体" w:hAnsi="宋体"/>
              </w:rPr>
              <w:t>1.3</w:t>
            </w:r>
          </w:p>
        </w:tc>
        <w:tc>
          <w:tcPr>
            <w:tcW w:w="2542" w:type="dxa"/>
            <w:gridSpan w:val="2"/>
          </w:tcPr>
          <w:p w14:paraId="7CA8323F">
            <w:pPr>
              <w:spacing w:line="360" w:lineRule="auto"/>
              <w:rPr>
                <w:rFonts w:ascii="宋体" w:hAnsi="宋体"/>
              </w:rPr>
            </w:pPr>
            <w:r>
              <w:rPr>
                <w:rFonts w:hint="eastAsia" w:ascii="宋体" w:hAnsi="宋体"/>
              </w:rPr>
              <w:t>巡检-显示屏等显示设备</w:t>
            </w:r>
          </w:p>
        </w:tc>
        <w:tc>
          <w:tcPr>
            <w:tcW w:w="846" w:type="dxa"/>
          </w:tcPr>
          <w:p w14:paraId="5B9C9BFD">
            <w:pPr>
              <w:spacing w:line="360" w:lineRule="auto"/>
              <w:jc w:val="center"/>
              <w:rPr>
                <w:rFonts w:ascii="宋体" w:hAnsi="宋体"/>
              </w:rPr>
            </w:pPr>
            <w:r>
              <w:rPr>
                <w:rFonts w:hint="eastAsia" w:ascii="宋体" w:hAnsi="宋体"/>
              </w:rPr>
              <w:t>5</w:t>
            </w:r>
          </w:p>
        </w:tc>
        <w:tc>
          <w:tcPr>
            <w:tcW w:w="1007" w:type="dxa"/>
          </w:tcPr>
          <w:p w14:paraId="2219118D">
            <w:pPr>
              <w:spacing w:line="360" w:lineRule="auto"/>
              <w:jc w:val="center"/>
              <w:rPr>
                <w:rFonts w:ascii="宋体" w:hAnsi="宋体"/>
              </w:rPr>
            </w:pPr>
          </w:p>
        </w:tc>
        <w:tc>
          <w:tcPr>
            <w:tcW w:w="3119" w:type="dxa"/>
            <w:vMerge w:val="continue"/>
          </w:tcPr>
          <w:p w14:paraId="36C3237E">
            <w:pPr>
              <w:spacing w:line="360" w:lineRule="auto"/>
              <w:rPr>
                <w:rFonts w:ascii="宋体" w:hAnsi="宋体"/>
              </w:rPr>
            </w:pPr>
          </w:p>
        </w:tc>
      </w:tr>
      <w:tr w14:paraId="4693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56CB961B">
            <w:pPr>
              <w:spacing w:line="360" w:lineRule="auto"/>
              <w:jc w:val="right"/>
              <w:rPr>
                <w:rFonts w:ascii="宋体" w:hAnsi="宋体"/>
              </w:rPr>
            </w:pPr>
            <w:r>
              <w:rPr>
                <w:rFonts w:hint="eastAsia" w:ascii="宋体" w:hAnsi="宋体"/>
              </w:rPr>
              <w:t>1.4</w:t>
            </w:r>
          </w:p>
        </w:tc>
        <w:tc>
          <w:tcPr>
            <w:tcW w:w="2542" w:type="dxa"/>
            <w:gridSpan w:val="2"/>
          </w:tcPr>
          <w:p w14:paraId="5B4A678B">
            <w:pPr>
              <w:spacing w:line="360" w:lineRule="auto"/>
              <w:rPr>
                <w:rFonts w:ascii="宋体" w:hAnsi="宋体"/>
              </w:rPr>
            </w:pPr>
            <w:r>
              <w:rPr>
                <w:rFonts w:hint="eastAsia" w:ascii="宋体" w:hAnsi="宋体"/>
              </w:rPr>
              <w:t>巡检-服务器及相关系统</w:t>
            </w:r>
          </w:p>
        </w:tc>
        <w:tc>
          <w:tcPr>
            <w:tcW w:w="846" w:type="dxa"/>
          </w:tcPr>
          <w:p w14:paraId="50732240">
            <w:pPr>
              <w:spacing w:line="360" w:lineRule="auto"/>
              <w:jc w:val="center"/>
              <w:rPr>
                <w:rFonts w:ascii="宋体" w:hAnsi="宋体"/>
              </w:rPr>
            </w:pPr>
            <w:r>
              <w:rPr>
                <w:rFonts w:hint="eastAsia" w:ascii="宋体" w:hAnsi="宋体"/>
              </w:rPr>
              <w:t>5</w:t>
            </w:r>
          </w:p>
        </w:tc>
        <w:tc>
          <w:tcPr>
            <w:tcW w:w="1007" w:type="dxa"/>
          </w:tcPr>
          <w:p w14:paraId="6BF5DA86">
            <w:pPr>
              <w:spacing w:line="360" w:lineRule="auto"/>
              <w:jc w:val="center"/>
              <w:rPr>
                <w:rFonts w:ascii="宋体" w:hAnsi="宋体"/>
              </w:rPr>
            </w:pPr>
          </w:p>
        </w:tc>
        <w:tc>
          <w:tcPr>
            <w:tcW w:w="3119" w:type="dxa"/>
            <w:vMerge w:val="continue"/>
          </w:tcPr>
          <w:p w14:paraId="51CD2863">
            <w:pPr>
              <w:spacing w:line="360" w:lineRule="auto"/>
              <w:rPr>
                <w:rFonts w:ascii="宋体" w:hAnsi="宋体"/>
              </w:rPr>
            </w:pPr>
          </w:p>
        </w:tc>
      </w:tr>
      <w:tr w14:paraId="35BD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1801B4D2">
            <w:pPr>
              <w:spacing w:line="360" w:lineRule="auto"/>
              <w:rPr>
                <w:rFonts w:ascii="宋体" w:hAnsi="宋体"/>
              </w:rPr>
            </w:pPr>
            <w:r>
              <w:rPr>
                <w:rFonts w:hint="eastAsia" w:ascii="宋体" w:hAnsi="宋体"/>
              </w:rPr>
              <w:t>2</w:t>
            </w:r>
          </w:p>
        </w:tc>
        <w:tc>
          <w:tcPr>
            <w:tcW w:w="2542" w:type="dxa"/>
            <w:gridSpan w:val="2"/>
          </w:tcPr>
          <w:p w14:paraId="1482AB7E">
            <w:pPr>
              <w:spacing w:line="360" w:lineRule="auto"/>
              <w:rPr>
                <w:rFonts w:ascii="宋体" w:hAnsi="宋体"/>
              </w:rPr>
            </w:pPr>
            <w:r>
              <w:rPr>
                <w:rFonts w:hint="eastAsia" w:ascii="宋体" w:hAnsi="宋体"/>
              </w:rPr>
              <w:t>工作及时性</w:t>
            </w:r>
          </w:p>
        </w:tc>
        <w:tc>
          <w:tcPr>
            <w:tcW w:w="846" w:type="dxa"/>
          </w:tcPr>
          <w:p w14:paraId="73F9B406">
            <w:pPr>
              <w:spacing w:line="360" w:lineRule="auto"/>
              <w:jc w:val="center"/>
              <w:rPr>
                <w:rFonts w:ascii="宋体" w:hAnsi="宋体"/>
              </w:rPr>
            </w:pPr>
            <w:r>
              <w:rPr>
                <w:rFonts w:hint="eastAsia" w:ascii="宋体" w:hAnsi="宋体"/>
              </w:rPr>
              <w:t>【40】</w:t>
            </w:r>
          </w:p>
        </w:tc>
        <w:tc>
          <w:tcPr>
            <w:tcW w:w="1007" w:type="dxa"/>
          </w:tcPr>
          <w:p w14:paraId="4D7C2D4F">
            <w:pPr>
              <w:spacing w:line="360" w:lineRule="auto"/>
              <w:jc w:val="center"/>
              <w:rPr>
                <w:rFonts w:ascii="宋体" w:hAnsi="宋体"/>
              </w:rPr>
            </w:pPr>
            <w:r>
              <w:rPr>
                <w:rFonts w:hint="eastAsia" w:ascii="宋体" w:hAnsi="宋体"/>
              </w:rPr>
              <w:t>/</w:t>
            </w:r>
          </w:p>
        </w:tc>
        <w:tc>
          <w:tcPr>
            <w:tcW w:w="3119" w:type="dxa"/>
            <w:vMerge w:val="restart"/>
          </w:tcPr>
          <w:p w14:paraId="2FE31587">
            <w:pPr>
              <w:spacing w:line="360" w:lineRule="auto"/>
              <w:rPr>
                <w:rFonts w:ascii="宋体" w:hAnsi="宋体"/>
              </w:rPr>
            </w:pPr>
            <w:r>
              <w:rPr>
                <w:rFonts w:hint="eastAsia" w:ascii="宋体" w:hAnsi="宋体"/>
                <w:sz w:val="18"/>
                <w:szCs w:val="18"/>
              </w:rPr>
              <w:t>以双方约定的时限为准，应对未达成约定时限的部分进行扣分</w:t>
            </w:r>
          </w:p>
        </w:tc>
      </w:tr>
      <w:tr w14:paraId="204D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91A1ABB">
            <w:pPr>
              <w:spacing w:line="360" w:lineRule="auto"/>
              <w:jc w:val="right"/>
              <w:rPr>
                <w:rFonts w:ascii="宋体" w:hAnsi="宋体"/>
              </w:rPr>
            </w:pPr>
            <w:r>
              <w:rPr>
                <w:rFonts w:hint="eastAsia" w:ascii="宋体" w:hAnsi="宋体"/>
              </w:rPr>
              <w:t>2.1</w:t>
            </w:r>
          </w:p>
        </w:tc>
        <w:tc>
          <w:tcPr>
            <w:tcW w:w="2542" w:type="dxa"/>
            <w:gridSpan w:val="2"/>
          </w:tcPr>
          <w:p w14:paraId="09805BBE">
            <w:pPr>
              <w:spacing w:line="360" w:lineRule="auto"/>
              <w:rPr>
                <w:rFonts w:ascii="宋体" w:hAnsi="宋体"/>
              </w:rPr>
            </w:pPr>
            <w:r>
              <w:rPr>
                <w:rFonts w:hint="eastAsia" w:ascii="宋体" w:hAnsi="宋体"/>
              </w:rPr>
              <w:t>故障处理到达时间</w:t>
            </w:r>
          </w:p>
        </w:tc>
        <w:tc>
          <w:tcPr>
            <w:tcW w:w="846" w:type="dxa"/>
          </w:tcPr>
          <w:p w14:paraId="1C4C3967">
            <w:pPr>
              <w:spacing w:line="360" w:lineRule="auto"/>
              <w:jc w:val="center"/>
              <w:rPr>
                <w:rFonts w:ascii="宋体" w:hAnsi="宋体"/>
              </w:rPr>
            </w:pPr>
            <w:r>
              <w:rPr>
                <w:rFonts w:hint="eastAsia" w:ascii="宋体" w:hAnsi="宋体"/>
              </w:rPr>
              <w:t>15</w:t>
            </w:r>
          </w:p>
        </w:tc>
        <w:tc>
          <w:tcPr>
            <w:tcW w:w="1007" w:type="dxa"/>
          </w:tcPr>
          <w:p w14:paraId="3342F2CB">
            <w:pPr>
              <w:spacing w:line="360" w:lineRule="auto"/>
              <w:jc w:val="center"/>
              <w:rPr>
                <w:rFonts w:ascii="宋体" w:hAnsi="宋体"/>
              </w:rPr>
            </w:pPr>
          </w:p>
        </w:tc>
        <w:tc>
          <w:tcPr>
            <w:tcW w:w="3119" w:type="dxa"/>
            <w:vMerge w:val="continue"/>
          </w:tcPr>
          <w:p w14:paraId="2A692F70">
            <w:pPr>
              <w:spacing w:line="360" w:lineRule="auto"/>
              <w:rPr>
                <w:rFonts w:ascii="宋体" w:hAnsi="宋体"/>
              </w:rPr>
            </w:pPr>
          </w:p>
        </w:tc>
      </w:tr>
      <w:tr w14:paraId="0521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5CE9D3DD">
            <w:pPr>
              <w:spacing w:line="360" w:lineRule="auto"/>
              <w:jc w:val="right"/>
              <w:rPr>
                <w:rFonts w:ascii="宋体" w:hAnsi="宋体"/>
              </w:rPr>
            </w:pPr>
            <w:r>
              <w:rPr>
                <w:rFonts w:hint="eastAsia" w:ascii="宋体" w:hAnsi="宋体"/>
              </w:rPr>
              <w:t>2.2</w:t>
            </w:r>
          </w:p>
        </w:tc>
        <w:tc>
          <w:tcPr>
            <w:tcW w:w="2542" w:type="dxa"/>
            <w:gridSpan w:val="2"/>
          </w:tcPr>
          <w:p w14:paraId="1171B921">
            <w:pPr>
              <w:spacing w:line="360" w:lineRule="auto"/>
              <w:rPr>
                <w:rFonts w:ascii="宋体" w:hAnsi="宋体"/>
              </w:rPr>
            </w:pPr>
            <w:r>
              <w:rPr>
                <w:rFonts w:hint="eastAsia" w:ascii="宋体" w:hAnsi="宋体"/>
              </w:rPr>
              <w:t>故障处理完成时间</w:t>
            </w:r>
          </w:p>
        </w:tc>
        <w:tc>
          <w:tcPr>
            <w:tcW w:w="846" w:type="dxa"/>
          </w:tcPr>
          <w:p w14:paraId="52D7D36C">
            <w:pPr>
              <w:spacing w:line="360" w:lineRule="auto"/>
              <w:jc w:val="center"/>
              <w:rPr>
                <w:rFonts w:ascii="宋体" w:hAnsi="宋体"/>
              </w:rPr>
            </w:pPr>
            <w:r>
              <w:rPr>
                <w:rFonts w:hint="eastAsia" w:ascii="宋体" w:hAnsi="宋体"/>
              </w:rPr>
              <w:t>15</w:t>
            </w:r>
          </w:p>
        </w:tc>
        <w:tc>
          <w:tcPr>
            <w:tcW w:w="1007" w:type="dxa"/>
          </w:tcPr>
          <w:p w14:paraId="3CD6A50F">
            <w:pPr>
              <w:spacing w:line="360" w:lineRule="auto"/>
              <w:jc w:val="center"/>
              <w:rPr>
                <w:rFonts w:ascii="宋体" w:hAnsi="宋体"/>
              </w:rPr>
            </w:pPr>
          </w:p>
        </w:tc>
        <w:tc>
          <w:tcPr>
            <w:tcW w:w="3119" w:type="dxa"/>
            <w:vMerge w:val="continue"/>
          </w:tcPr>
          <w:p w14:paraId="11870D97">
            <w:pPr>
              <w:spacing w:line="360" w:lineRule="auto"/>
              <w:rPr>
                <w:rFonts w:ascii="宋体" w:hAnsi="宋体"/>
              </w:rPr>
            </w:pPr>
          </w:p>
        </w:tc>
      </w:tr>
      <w:tr w14:paraId="5BE2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5EC4762A">
            <w:pPr>
              <w:tabs>
                <w:tab w:val="left" w:pos="265"/>
              </w:tabs>
              <w:spacing w:line="360" w:lineRule="auto"/>
              <w:ind w:firstLine="210" w:firstLineChars="100"/>
              <w:jc w:val="left"/>
              <w:rPr>
                <w:rFonts w:ascii="宋体" w:hAnsi="宋体"/>
              </w:rPr>
            </w:pPr>
            <w:r>
              <w:rPr>
                <w:rFonts w:hint="eastAsia" w:ascii="宋体" w:hAnsi="宋体"/>
              </w:rPr>
              <w:t>2.3</w:t>
            </w:r>
          </w:p>
        </w:tc>
        <w:tc>
          <w:tcPr>
            <w:tcW w:w="2542" w:type="dxa"/>
            <w:gridSpan w:val="2"/>
          </w:tcPr>
          <w:p w14:paraId="31F607F8">
            <w:pPr>
              <w:spacing w:line="360" w:lineRule="auto"/>
              <w:rPr>
                <w:rFonts w:ascii="宋体" w:hAnsi="宋体"/>
              </w:rPr>
            </w:pPr>
            <w:r>
              <w:rPr>
                <w:rFonts w:hint="eastAsia" w:ascii="宋体" w:hAnsi="宋体"/>
              </w:rPr>
              <w:t>同样故障不再重复出现</w:t>
            </w:r>
          </w:p>
        </w:tc>
        <w:tc>
          <w:tcPr>
            <w:tcW w:w="846" w:type="dxa"/>
          </w:tcPr>
          <w:p w14:paraId="469C7F59">
            <w:pPr>
              <w:spacing w:line="360" w:lineRule="auto"/>
              <w:jc w:val="center"/>
              <w:rPr>
                <w:rFonts w:ascii="宋体" w:hAnsi="宋体"/>
              </w:rPr>
            </w:pPr>
            <w:r>
              <w:rPr>
                <w:rFonts w:hint="eastAsia" w:ascii="宋体" w:hAnsi="宋体"/>
              </w:rPr>
              <w:t>10</w:t>
            </w:r>
          </w:p>
        </w:tc>
        <w:tc>
          <w:tcPr>
            <w:tcW w:w="1007" w:type="dxa"/>
          </w:tcPr>
          <w:p w14:paraId="7CCE5364">
            <w:pPr>
              <w:spacing w:line="360" w:lineRule="auto"/>
              <w:jc w:val="center"/>
              <w:rPr>
                <w:rFonts w:ascii="宋体" w:hAnsi="宋体"/>
              </w:rPr>
            </w:pPr>
          </w:p>
        </w:tc>
        <w:tc>
          <w:tcPr>
            <w:tcW w:w="3119" w:type="dxa"/>
            <w:vMerge w:val="continue"/>
          </w:tcPr>
          <w:p w14:paraId="12623045">
            <w:pPr>
              <w:spacing w:line="360" w:lineRule="auto"/>
              <w:rPr>
                <w:rFonts w:ascii="宋体" w:hAnsi="宋体"/>
              </w:rPr>
            </w:pPr>
          </w:p>
        </w:tc>
      </w:tr>
      <w:tr w14:paraId="0474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1E5B0BF1">
            <w:pPr>
              <w:spacing w:line="360" w:lineRule="auto"/>
              <w:rPr>
                <w:rFonts w:ascii="宋体" w:hAnsi="宋体"/>
              </w:rPr>
            </w:pPr>
            <w:r>
              <w:rPr>
                <w:rFonts w:hint="eastAsia" w:ascii="宋体" w:hAnsi="宋体"/>
              </w:rPr>
              <w:t>3</w:t>
            </w:r>
          </w:p>
        </w:tc>
        <w:tc>
          <w:tcPr>
            <w:tcW w:w="2542" w:type="dxa"/>
            <w:gridSpan w:val="2"/>
          </w:tcPr>
          <w:p w14:paraId="25E5D99F">
            <w:pPr>
              <w:spacing w:line="360" w:lineRule="auto"/>
              <w:rPr>
                <w:rFonts w:ascii="宋体" w:hAnsi="宋体"/>
              </w:rPr>
            </w:pPr>
            <w:r>
              <w:rPr>
                <w:rFonts w:hint="eastAsia" w:ascii="宋体" w:hAnsi="宋体"/>
              </w:rPr>
              <w:t>工作完成效果</w:t>
            </w:r>
          </w:p>
        </w:tc>
        <w:tc>
          <w:tcPr>
            <w:tcW w:w="846" w:type="dxa"/>
          </w:tcPr>
          <w:p w14:paraId="7DDA5DA8">
            <w:pPr>
              <w:spacing w:line="360" w:lineRule="auto"/>
              <w:jc w:val="center"/>
              <w:rPr>
                <w:rFonts w:ascii="宋体" w:hAnsi="宋体"/>
              </w:rPr>
            </w:pPr>
            <w:r>
              <w:rPr>
                <w:rFonts w:hint="eastAsia" w:ascii="宋体" w:hAnsi="宋体"/>
              </w:rPr>
              <w:t>【15】</w:t>
            </w:r>
          </w:p>
        </w:tc>
        <w:tc>
          <w:tcPr>
            <w:tcW w:w="1007" w:type="dxa"/>
          </w:tcPr>
          <w:p w14:paraId="3D47FF60">
            <w:pPr>
              <w:spacing w:line="360" w:lineRule="auto"/>
              <w:jc w:val="center"/>
              <w:rPr>
                <w:rFonts w:ascii="宋体" w:hAnsi="宋体"/>
              </w:rPr>
            </w:pPr>
            <w:r>
              <w:rPr>
                <w:rFonts w:hint="eastAsia" w:ascii="宋体" w:hAnsi="宋体"/>
              </w:rPr>
              <w:t>/</w:t>
            </w:r>
          </w:p>
        </w:tc>
        <w:tc>
          <w:tcPr>
            <w:tcW w:w="3119" w:type="dxa"/>
            <w:vMerge w:val="restart"/>
          </w:tcPr>
          <w:p w14:paraId="0E1CDDC5">
            <w:pPr>
              <w:spacing w:line="360" w:lineRule="auto"/>
              <w:rPr>
                <w:rFonts w:ascii="宋体" w:hAnsi="宋体"/>
              </w:rPr>
            </w:pPr>
            <w:r>
              <w:rPr>
                <w:rFonts w:hint="eastAsia" w:ascii="宋体" w:hAnsi="宋体"/>
                <w:sz w:val="18"/>
                <w:szCs w:val="18"/>
              </w:rPr>
              <w:t>结合合同预定与主管评价，对维保服务的服务质量进行评定</w:t>
            </w:r>
          </w:p>
        </w:tc>
      </w:tr>
      <w:tr w14:paraId="7640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050C8D67">
            <w:pPr>
              <w:spacing w:line="360" w:lineRule="auto"/>
              <w:jc w:val="right"/>
              <w:rPr>
                <w:rFonts w:ascii="宋体" w:hAnsi="宋体"/>
              </w:rPr>
            </w:pPr>
            <w:r>
              <w:rPr>
                <w:rFonts w:hint="eastAsia" w:ascii="宋体" w:hAnsi="宋体"/>
              </w:rPr>
              <w:t>3.1</w:t>
            </w:r>
          </w:p>
        </w:tc>
        <w:tc>
          <w:tcPr>
            <w:tcW w:w="2542" w:type="dxa"/>
            <w:gridSpan w:val="2"/>
          </w:tcPr>
          <w:p w14:paraId="4D996CE7">
            <w:pPr>
              <w:spacing w:line="360" w:lineRule="auto"/>
              <w:rPr>
                <w:rFonts w:ascii="宋体" w:hAnsi="宋体"/>
              </w:rPr>
            </w:pPr>
            <w:r>
              <w:rPr>
                <w:rFonts w:hint="eastAsia" w:ascii="宋体" w:hAnsi="宋体"/>
              </w:rPr>
              <w:t>故障处理</w:t>
            </w:r>
          </w:p>
        </w:tc>
        <w:tc>
          <w:tcPr>
            <w:tcW w:w="846" w:type="dxa"/>
          </w:tcPr>
          <w:p w14:paraId="11F3B482">
            <w:pPr>
              <w:spacing w:line="360" w:lineRule="auto"/>
              <w:jc w:val="center"/>
              <w:rPr>
                <w:rFonts w:ascii="宋体" w:hAnsi="宋体"/>
              </w:rPr>
            </w:pPr>
            <w:r>
              <w:rPr>
                <w:rFonts w:hint="eastAsia" w:ascii="宋体" w:hAnsi="宋体"/>
              </w:rPr>
              <w:t>5</w:t>
            </w:r>
          </w:p>
        </w:tc>
        <w:tc>
          <w:tcPr>
            <w:tcW w:w="1007" w:type="dxa"/>
          </w:tcPr>
          <w:p w14:paraId="4D60A9DB">
            <w:pPr>
              <w:spacing w:line="360" w:lineRule="auto"/>
              <w:jc w:val="center"/>
              <w:rPr>
                <w:rFonts w:ascii="宋体" w:hAnsi="宋体"/>
              </w:rPr>
            </w:pPr>
          </w:p>
        </w:tc>
        <w:tc>
          <w:tcPr>
            <w:tcW w:w="3119" w:type="dxa"/>
            <w:vMerge w:val="continue"/>
          </w:tcPr>
          <w:p w14:paraId="10610D1B">
            <w:pPr>
              <w:spacing w:line="360" w:lineRule="auto"/>
              <w:rPr>
                <w:rFonts w:ascii="宋体" w:hAnsi="宋体"/>
              </w:rPr>
            </w:pPr>
          </w:p>
        </w:tc>
      </w:tr>
      <w:tr w14:paraId="4EE5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212587C6">
            <w:pPr>
              <w:spacing w:line="360" w:lineRule="auto"/>
              <w:jc w:val="right"/>
              <w:rPr>
                <w:rFonts w:ascii="宋体" w:hAnsi="宋体"/>
              </w:rPr>
            </w:pPr>
            <w:r>
              <w:rPr>
                <w:rFonts w:hint="eastAsia" w:ascii="宋体" w:hAnsi="宋体"/>
              </w:rPr>
              <w:t>3.2</w:t>
            </w:r>
          </w:p>
        </w:tc>
        <w:tc>
          <w:tcPr>
            <w:tcW w:w="2542" w:type="dxa"/>
            <w:gridSpan w:val="2"/>
          </w:tcPr>
          <w:p w14:paraId="37D674BF">
            <w:pPr>
              <w:spacing w:line="360" w:lineRule="auto"/>
              <w:rPr>
                <w:rFonts w:ascii="宋体" w:hAnsi="宋体"/>
              </w:rPr>
            </w:pPr>
            <w:r>
              <w:rPr>
                <w:rFonts w:hint="eastAsia" w:ascii="宋体" w:hAnsi="宋体"/>
              </w:rPr>
              <w:t>巡检</w:t>
            </w:r>
          </w:p>
        </w:tc>
        <w:tc>
          <w:tcPr>
            <w:tcW w:w="846" w:type="dxa"/>
          </w:tcPr>
          <w:p w14:paraId="3949979B">
            <w:pPr>
              <w:spacing w:line="360" w:lineRule="auto"/>
              <w:jc w:val="center"/>
              <w:rPr>
                <w:rFonts w:ascii="宋体" w:hAnsi="宋体"/>
              </w:rPr>
            </w:pPr>
            <w:r>
              <w:rPr>
                <w:rFonts w:hint="eastAsia" w:ascii="宋体" w:hAnsi="宋体"/>
              </w:rPr>
              <w:t>5</w:t>
            </w:r>
          </w:p>
        </w:tc>
        <w:tc>
          <w:tcPr>
            <w:tcW w:w="1007" w:type="dxa"/>
          </w:tcPr>
          <w:p w14:paraId="5749F571">
            <w:pPr>
              <w:spacing w:line="360" w:lineRule="auto"/>
              <w:jc w:val="center"/>
              <w:rPr>
                <w:rFonts w:ascii="宋体" w:hAnsi="宋体"/>
              </w:rPr>
            </w:pPr>
          </w:p>
        </w:tc>
        <w:tc>
          <w:tcPr>
            <w:tcW w:w="3119" w:type="dxa"/>
            <w:vMerge w:val="continue"/>
          </w:tcPr>
          <w:p w14:paraId="4B59CB9D">
            <w:pPr>
              <w:spacing w:line="360" w:lineRule="auto"/>
              <w:rPr>
                <w:rFonts w:ascii="宋体" w:hAnsi="宋体"/>
              </w:rPr>
            </w:pPr>
          </w:p>
        </w:tc>
      </w:tr>
      <w:tr w14:paraId="7206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6D0E860">
            <w:pPr>
              <w:spacing w:line="360" w:lineRule="auto"/>
              <w:jc w:val="right"/>
              <w:rPr>
                <w:rFonts w:ascii="宋体" w:hAnsi="宋体"/>
              </w:rPr>
            </w:pPr>
            <w:r>
              <w:rPr>
                <w:rFonts w:hint="eastAsia" w:ascii="宋体" w:hAnsi="宋体"/>
              </w:rPr>
              <w:t>3.3</w:t>
            </w:r>
          </w:p>
        </w:tc>
        <w:tc>
          <w:tcPr>
            <w:tcW w:w="2542" w:type="dxa"/>
            <w:gridSpan w:val="2"/>
          </w:tcPr>
          <w:p w14:paraId="576F81B7">
            <w:pPr>
              <w:spacing w:line="360" w:lineRule="auto"/>
              <w:rPr>
                <w:rFonts w:ascii="宋体" w:hAnsi="宋体"/>
              </w:rPr>
            </w:pPr>
            <w:r>
              <w:rPr>
                <w:rFonts w:hint="eastAsia" w:ascii="宋体" w:hAnsi="宋体"/>
              </w:rPr>
              <w:t>远程技术支持及其他</w:t>
            </w:r>
          </w:p>
        </w:tc>
        <w:tc>
          <w:tcPr>
            <w:tcW w:w="846" w:type="dxa"/>
          </w:tcPr>
          <w:p w14:paraId="6BD03753">
            <w:pPr>
              <w:spacing w:line="360" w:lineRule="auto"/>
              <w:jc w:val="center"/>
              <w:rPr>
                <w:rFonts w:ascii="宋体" w:hAnsi="宋体"/>
              </w:rPr>
            </w:pPr>
            <w:r>
              <w:rPr>
                <w:rFonts w:hint="eastAsia" w:ascii="宋体" w:hAnsi="宋体"/>
              </w:rPr>
              <w:t>5</w:t>
            </w:r>
          </w:p>
        </w:tc>
        <w:tc>
          <w:tcPr>
            <w:tcW w:w="1007" w:type="dxa"/>
          </w:tcPr>
          <w:p w14:paraId="2DE74FEF">
            <w:pPr>
              <w:spacing w:line="360" w:lineRule="auto"/>
              <w:jc w:val="center"/>
              <w:rPr>
                <w:rFonts w:ascii="宋体" w:hAnsi="宋体"/>
              </w:rPr>
            </w:pPr>
          </w:p>
        </w:tc>
        <w:tc>
          <w:tcPr>
            <w:tcW w:w="3119" w:type="dxa"/>
            <w:vMerge w:val="continue"/>
          </w:tcPr>
          <w:p w14:paraId="1DF24324">
            <w:pPr>
              <w:spacing w:line="360" w:lineRule="auto"/>
              <w:rPr>
                <w:rFonts w:ascii="宋体" w:hAnsi="宋体"/>
              </w:rPr>
            </w:pPr>
          </w:p>
        </w:tc>
      </w:tr>
      <w:tr w14:paraId="66F9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7EBE2C0D">
            <w:pPr>
              <w:spacing w:line="360" w:lineRule="auto"/>
              <w:rPr>
                <w:rFonts w:ascii="宋体" w:hAnsi="宋体"/>
              </w:rPr>
            </w:pPr>
            <w:r>
              <w:rPr>
                <w:rFonts w:hint="eastAsia" w:ascii="宋体" w:hAnsi="宋体"/>
              </w:rPr>
              <w:t>4</w:t>
            </w:r>
          </w:p>
        </w:tc>
        <w:tc>
          <w:tcPr>
            <w:tcW w:w="2542" w:type="dxa"/>
            <w:gridSpan w:val="2"/>
          </w:tcPr>
          <w:p w14:paraId="60ACF837">
            <w:pPr>
              <w:spacing w:line="360" w:lineRule="auto"/>
              <w:rPr>
                <w:rFonts w:ascii="宋体" w:hAnsi="宋体"/>
              </w:rPr>
            </w:pPr>
            <w:r>
              <w:rPr>
                <w:rFonts w:hint="eastAsia" w:ascii="宋体" w:hAnsi="宋体"/>
              </w:rPr>
              <w:t>需求响应时间</w:t>
            </w:r>
          </w:p>
        </w:tc>
        <w:tc>
          <w:tcPr>
            <w:tcW w:w="846" w:type="dxa"/>
          </w:tcPr>
          <w:p w14:paraId="66BB3BCE">
            <w:pPr>
              <w:spacing w:line="360" w:lineRule="auto"/>
              <w:jc w:val="center"/>
              <w:rPr>
                <w:rFonts w:ascii="宋体" w:hAnsi="宋体"/>
              </w:rPr>
            </w:pPr>
            <w:r>
              <w:rPr>
                <w:rFonts w:hint="eastAsia" w:ascii="宋体" w:hAnsi="宋体"/>
              </w:rPr>
              <w:t>【1</w:t>
            </w:r>
            <w:r>
              <w:rPr>
                <w:rFonts w:ascii="宋体" w:hAnsi="宋体"/>
              </w:rPr>
              <w:t>0</w:t>
            </w:r>
            <w:r>
              <w:rPr>
                <w:rFonts w:hint="eastAsia" w:ascii="宋体" w:hAnsi="宋体"/>
              </w:rPr>
              <w:t>】</w:t>
            </w:r>
          </w:p>
        </w:tc>
        <w:tc>
          <w:tcPr>
            <w:tcW w:w="1007" w:type="dxa"/>
          </w:tcPr>
          <w:p w14:paraId="37F24845">
            <w:pPr>
              <w:spacing w:line="360" w:lineRule="auto"/>
              <w:jc w:val="center"/>
              <w:rPr>
                <w:rFonts w:ascii="宋体" w:hAnsi="宋体"/>
              </w:rPr>
            </w:pPr>
          </w:p>
        </w:tc>
        <w:tc>
          <w:tcPr>
            <w:tcW w:w="3119" w:type="dxa"/>
            <w:vMerge w:val="restart"/>
          </w:tcPr>
          <w:p w14:paraId="64CB5143">
            <w:pPr>
              <w:spacing w:line="360" w:lineRule="auto"/>
              <w:rPr>
                <w:rFonts w:ascii="宋体" w:hAnsi="宋体"/>
                <w:sz w:val="18"/>
                <w:szCs w:val="18"/>
              </w:rPr>
            </w:pPr>
            <w:r>
              <w:rPr>
                <w:rFonts w:hint="eastAsia" w:ascii="宋体" w:hAnsi="宋体"/>
                <w:sz w:val="18"/>
                <w:szCs w:val="18"/>
              </w:rPr>
              <w:t>根据实际业务需求及合同约定，需求完成时间达标率不低于95%，应急处理效率与能力评估：发生一次应急处理不及时或应急处理措施不当影响医院正常就诊秩序情况扣1分</w:t>
            </w:r>
          </w:p>
        </w:tc>
      </w:tr>
      <w:tr w14:paraId="1641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072A7230">
            <w:pPr>
              <w:spacing w:line="360" w:lineRule="auto"/>
              <w:rPr>
                <w:rFonts w:ascii="宋体" w:hAnsi="宋体"/>
              </w:rPr>
            </w:pPr>
            <w:r>
              <w:rPr>
                <w:rFonts w:ascii="宋体" w:hAnsi="宋体"/>
              </w:rPr>
              <w:t>4.1</w:t>
            </w:r>
          </w:p>
        </w:tc>
        <w:tc>
          <w:tcPr>
            <w:tcW w:w="2542" w:type="dxa"/>
            <w:gridSpan w:val="2"/>
          </w:tcPr>
          <w:p w14:paraId="026B4374">
            <w:pPr>
              <w:spacing w:line="360" w:lineRule="auto"/>
              <w:rPr>
                <w:rFonts w:ascii="宋体" w:hAnsi="宋体"/>
              </w:rPr>
            </w:pPr>
            <w:r>
              <w:rPr>
                <w:rFonts w:hint="eastAsia" w:ascii="宋体" w:hAnsi="宋体"/>
              </w:rPr>
              <w:t>需求完成时间达标率</w:t>
            </w:r>
          </w:p>
        </w:tc>
        <w:tc>
          <w:tcPr>
            <w:tcW w:w="846" w:type="dxa"/>
          </w:tcPr>
          <w:p w14:paraId="68076C77">
            <w:pPr>
              <w:spacing w:line="360" w:lineRule="auto"/>
              <w:jc w:val="center"/>
              <w:rPr>
                <w:rFonts w:ascii="宋体" w:hAnsi="宋体"/>
              </w:rPr>
            </w:pPr>
            <w:r>
              <w:rPr>
                <w:rFonts w:hint="eastAsia" w:ascii="宋体" w:hAnsi="宋体"/>
              </w:rPr>
              <w:t>5</w:t>
            </w:r>
          </w:p>
        </w:tc>
        <w:tc>
          <w:tcPr>
            <w:tcW w:w="1007" w:type="dxa"/>
          </w:tcPr>
          <w:p w14:paraId="7FD8FB54">
            <w:pPr>
              <w:spacing w:line="360" w:lineRule="auto"/>
              <w:jc w:val="center"/>
              <w:rPr>
                <w:rFonts w:ascii="宋体" w:hAnsi="宋体"/>
              </w:rPr>
            </w:pPr>
          </w:p>
        </w:tc>
        <w:tc>
          <w:tcPr>
            <w:tcW w:w="3119" w:type="dxa"/>
            <w:vMerge w:val="continue"/>
          </w:tcPr>
          <w:p w14:paraId="422EBE26">
            <w:pPr>
              <w:spacing w:line="360" w:lineRule="auto"/>
              <w:rPr>
                <w:rFonts w:ascii="宋体" w:hAnsi="宋体"/>
                <w:sz w:val="18"/>
                <w:szCs w:val="18"/>
              </w:rPr>
            </w:pPr>
          </w:p>
        </w:tc>
      </w:tr>
      <w:tr w14:paraId="6710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6F0C9B20">
            <w:pPr>
              <w:spacing w:line="360" w:lineRule="auto"/>
              <w:rPr>
                <w:rFonts w:ascii="宋体" w:hAnsi="宋体"/>
              </w:rPr>
            </w:pPr>
            <w:r>
              <w:rPr>
                <w:rFonts w:hint="eastAsia" w:ascii="宋体" w:hAnsi="宋体"/>
              </w:rPr>
              <w:t>4</w:t>
            </w:r>
            <w:r>
              <w:rPr>
                <w:rFonts w:ascii="宋体" w:hAnsi="宋体"/>
              </w:rPr>
              <w:t>.2</w:t>
            </w:r>
          </w:p>
        </w:tc>
        <w:tc>
          <w:tcPr>
            <w:tcW w:w="2542" w:type="dxa"/>
            <w:gridSpan w:val="2"/>
          </w:tcPr>
          <w:p w14:paraId="51A8077F">
            <w:pPr>
              <w:spacing w:line="360" w:lineRule="auto"/>
              <w:rPr>
                <w:rFonts w:ascii="宋体" w:hAnsi="宋体"/>
              </w:rPr>
            </w:pPr>
            <w:r>
              <w:rPr>
                <w:rFonts w:hint="eastAsia" w:ascii="宋体" w:hAnsi="宋体"/>
              </w:rPr>
              <w:t>应急处理效率与能力评估</w:t>
            </w:r>
          </w:p>
        </w:tc>
        <w:tc>
          <w:tcPr>
            <w:tcW w:w="846" w:type="dxa"/>
          </w:tcPr>
          <w:p w14:paraId="36346A21">
            <w:pPr>
              <w:spacing w:line="360" w:lineRule="auto"/>
              <w:jc w:val="center"/>
              <w:rPr>
                <w:rFonts w:ascii="宋体" w:hAnsi="宋体"/>
              </w:rPr>
            </w:pPr>
            <w:r>
              <w:rPr>
                <w:rFonts w:hint="eastAsia" w:ascii="宋体" w:hAnsi="宋体"/>
              </w:rPr>
              <w:t>5</w:t>
            </w:r>
          </w:p>
        </w:tc>
        <w:tc>
          <w:tcPr>
            <w:tcW w:w="1007" w:type="dxa"/>
          </w:tcPr>
          <w:p w14:paraId="13D84969">
            <w:pPr>
              <w:spacing w:line="360" w:lineRule="auto"/>
              <w:jc w:val="center"/>
              <w:rPr>
                <w:rFonts w:ascii="宋体" w:hAnsi="宋体"/>
              </w:rPr>
            </w:pPr>
          </w:p>
        </w:tc>
        <w:tc>
          <w:tcPr>
            <w:tcW w:w="3119" w:type="dxa"/>
            <w:vMerge w:val="continue"/>
          </w:tcPr>
          <w:p w14:paraId="6B84F751">
            <w:pPr>
              <w:spacing w:line="360" w:lineRule="auto"/>
              <w:rPr>
                <w:rFonts w:ascii="宋体" w:hAnsi="宋体"/>
                <w:sz w:val="18"/>
                <w:szCs w:val="18"/>
              </w:rPr>
            </w:pPr>
          </w:p>
        </w:tc>
      </w:tr>
      <w:tr w14:paraId="18D6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0959E4EE">
            <w:pPr>
              <w:spacing w:line="360" w:lineRule="auto"/>
              <w:rPr>
                <w:rFonts w:ascii="宋体" w:hAnsi="宋体"/>
              </w:rPr>
            </w:pPr>
            <w:r>
              <w:rPr>
                <w:rFonts w:ascii="宋体" w:hAnsi="宋体"/>
              </w:rPr>
              <w:t>5</w:t>
            </w:r>
          </w:p>
        </w:tc>
        <w:tc>
          <w:tcPr>
            <w:tcW w:w="2542" w:type="dxa"/>
            <w:gridSpan w:val="2"/>
          </w:tcPr>
          <w:p w14:paraId="58B041BF">
            <w:pPr>
              <w:spacing w:line="360" w:lineRule="auto"/>
              <w:rPr>
                <w:rFonts w:ascii="宋体" w:hAnsi="宋体"/>
              </w:rPr>
            </w:pPr>
            <w:r>
              <w:rPr>
                <w:rFonts w:hint="eastAsia" w:ascii="宋体" w:hAnsi="宋体"/>
              </w:rPr>
              <w:t>服务态度</w:t>
            </w:r>
          </w:p>
        </w:tc>
        <w:tc>
          <w:tcPr>
            <w:tcW w:w="846" w:type="dxa"/>
          </w:tcPr>
          <w:p w14:paraId="7CD71A91">
            <w:pPr>
              <w:spacing w:line="360" w:lineRule="auto"/>
              <w:jc w:val="center"/>
              <w:rPr>
                <w:rFonts w:ascii="宋体" w:hAnsi="宋体"/>
              </w:rPr>
            </w:pPr>
            <w:r>
              <w:rPr>
                <w:rFonts w:hint="eastAsia" w:ascii="宋体" w:hAnsi="宋体"/>
              </w:rPr>
              <w:t>【5】</w:t>
            </w:r>
          </w:p>
        </w:tc>
        <w:tc>
          <w:tcPr>
            <w:tcW w:w="1007" w:type="dxa"/>
          </w:tcPr>
          <w:p w14:paraId="6323393D">
            <w:pPr>
              <w:spacing w:line="360" w:lineRule="auto"/>
              <w:jc w:val="center"/>
              <w:rPr>
                <w:rFonts w:ascii="宋体" w:hAnsi="宋体"/>
              </w:rPr>
            </w:pPr>
            <w:r>
              <w:rPr>
                <w:rFonts w:hint="eastAsia" w:ascii="宋体" w:hAnsi="宋体"/>
              </w:rPr>
              <w:t>/</w:t>
            </w:r>
          </w:p>
        </w:tc>
        <w:tc>
          <w:tcPr>
            <w:tcW w:w="3119" w:type="dxa"/>
            <w:vMerge w:val="restart"/>
          </w:tcPr>
          <w:p w14:paraId="5957D012">
            <w:pPr>
              <w:spacing w:line="360" w:lineRule="auto"/>
              <w:rPr>
                <w:rFonts w:ascii="宋体" w:hAnsi="宋体"/>
              </w:rPr>
            </w:pPr>
            <w:r>
              <w:rPr>
                <w:rFonts w:hint="eastAsia" w:ascii="宋体" w:hAnsi="宋体"/>
                <w:sz w:val="18"/>
                <w:szCs w:val="18"/>
              </w:rPr>
              <w:t>以甲方对接人员的主观评价为准，对于爱理不理、未履行双方事项约定，服务不主动开情况酌情评分</w:t>
            </w:r>
          </w:p>
        </w:tc>
      </w:tr>
      <w:tr w14:paraId="0220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6A8F9573">
            <w:pPr>
              <w:spacing w:line="360" w:lineRule="auto"/>
              <w:jc w:val="right"/>
              <w:rPr>
                <w:rFonts w:ascii="宋体" w:hAnsi="宋体"/>
              </w:rPr>
            </w:pPr>
            <w:r>
              <w:rPr>
                <w:rFonts w:ascii="宋体" w:hAnsi="宋体"/>
              </w:rPr>
              <w:t>5</w:t>
            </w:r>
            <w:r>
              <w:rPr>
                <w:rFonts w:hint="eastAsia" w:ascii="宋体" w:hAnsi="宋体"/>
              </w:rPr>
              <w:t>.1</w:t>
            </w:r>
          </w:p>
        </w:tc>
        <w:tc>
          <w:tcPr>
            <w:tcW w:w="2542" w:type="dxa"/>
            <w:gridSpan w:val="2"/>
          </w:tcPr>
          <w:p w14:paraId="21654947">
            <w:pPr>
              <w:spacing w:line="360" w:lineRule="auto"/>
              <w:rPr>
                <w:rFonts w:ascii="宋体" w:hAnsi="宋体"/>
              </w:rPr>
            </w:pPr>
            <w:r>
              <w:rPr>
                <w:rFonts w:hint="eastAsia" w:ascii="宋体" w:hAnsi="宋体"/>
              </w:rPr>
              <w:t>服务文明礼仪</w:t>
            </w:r>
          </w:p>
        </w:tc>
        <w:tc>
          <w:tcPr>
            <w:tcW w:w="846" w:type="dxa"/>
          </w:tcPr>
          <w:p w14:paraId="45B8DCDE">
            <w:pPr>
              <w:spacing w:line="360" w:lineRule="auto"/>
              <w:jc w:val="center"/>
              <w:rPr>
                <w:rFonts w:ascii="宋体" w:hAnsi="宋体"/>
              </w:rPr>
            </w:pPr>
            <w:r>
              <w:rPr>
                <w:rFonts w:ascii="宋体" w:hAnsi="宋体"/>
              </w:rPr>
              <w:t>1</w:t>
            </w:r>
          </w:p>
        </w:tc>
        <w:tc>
          <w:tcPr>
            <w:tcW w:w="1007" w:type="dxa"/>
          </w:tcPr>
          <w:p w14:paraId="5FFE13B4">
            <w:pPr>
              <w:spacing w:line="360" w:lineRule="auto"/>
              <w:jc w:val="center"/>
              <w:rPr>
                <w:rFonts w:ascii="宋体" w:hAnsi="宋体"/>
              </w:rPr>
            </w:pPr>
          </w:p>
        </w:tc>
        <w:tc>
          <w:tcPr>
            <w:tcW w:w="3119" w:type="dxa"/>
            <w:vMerge w:val="continue"/>
          </w:tcPr>
          <w:p w14:paraId="3146BF2D">
            <w:pPr>
              <w:spacing w:line="360" w:lineRule="auto"/>
              <w:rPr>
                <w:rFonts w:ascii="宋体" w:hAnsi="宋体"/>
              </w:rPr>
            </w:pPr>
          </w:p>
        </w:tc>
      </w:tr>
      <w:tr w14:paraId="1747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506A0FB">
            <w:pPr>
              <w:spacing w:line="360" w:lineRule="auto"/>
              <w:jc w:val="right"/>
              <w:rPr>
                <w:rFonts w:ascii="宋体" w:hAnsi="宋体"/>
              </w:rPr>
            </w:pPr>
            <w:r>
              <w:rPr>
                <w:rFonts w:ascii="宋体" w:hAnsi="宋体"/>
              </w:rPr>
              <w:t>5</w:t>
            </w:r>
            <w:r>
              <w:rPr>
                <w:rFonts w:hint="eastAsia" w:ascii="宋体" w:hAnsi="宋体"/>
              </w:rPr>
              <w:t>.2</w:t>
            </w:r>
          </w:p>
        </w:tc>
        <w:tc>
          <w:tcPr>
            <w:tcW w:w="2542" w:type="dxa"/>
            <w:gridSpan w:val="2"/>
          </w:tcPr>
          <w:p w14:paraId="2A5AA424">
            <w:pPr>
              <w:spacing w:line="360" w:lineRule="auto"/>
              <w:rPr>
                <w:rFonts w:ascii="宋体" w:hAnsi="宋体"/>
              </w:rPr>
            </w:pPr>
            <w:r>
              <w:rPr>
                <w:rFonts w:hint="eastAsia" w:ascii="宋体" w:hAnsi="宋体"/>
              </w:rPr>
              <w:t>服务安全</w:t>
            </w:r>
          </w:p>
        </w:tc>
        <w:tc>
          <w:tcPr>
            <w:tcW w:w="846" w:type="dxa"/>
          </w:tcPr>
          <w:p w14:paraId="7257B338">
            <w:pPr>
              <w:spacing w:line="360" w:lineRule="auto"/>
              <w:jc w:val="center"/>
              <w:rPr>
                <w:rFonts w:ascii="宋体" w:hAnsi="宋体"/>
              </w:rPr>
            </w:pPr>
            <w:r>
              <w:rPr>
                <w:rFonts w:ascii="宋体" w:hAnsi="宋体"/>
              </w:rPr>
              <w:t>1</w:t>
            </w:r>
          </w:p>
        </w:tc>
        <w:tc>
          <w:tcPr>
            <w:tcW w:w="1007" w:type="dxa"/>
          </w:tcPr>
          <w:p w14:paraId="298369C0">
            <w:pPr>
              <w:spacing w:line="360" w:lineRule="auto"/>
              <w:jc w:val="center"/>
              <w:rPr>
                <w:rFonts w:ascii="宋体" w:hAnsi="宋体"/>
              </w:rPr>
            </w:pPr>
          </w:p>
        </w:tc>
        <w:tc>
          <w:tcPr>
            <w:tcW w:w="3119" w:type="dxa"/>
            <w:vMerge w:val="continue"/>
          </w:tcPr>
          <w:p w14:paraId="317CAEB6">
            <w:pPr>
              <w:spacing w:line="360" w:lineRule="auto"/>
              <w:rPr>
                <w:rFonts w:ascii="宋体" w:hAnsi="宋体"/>
              </w:rPr>
            </w:pPr>
          </w:p>
        </w:tc>
      </w:tr>
      <w:tr w14:paraId="4675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1" w:type="dxa"/>
          </w:tcPr>
          <w:p w14:paraId="25469A5C">
            <w:pPr>
              <w:spacing w:line="360" w:lineRule="auto"/>
              <w:jc w:val="right"/>
              <w:rPr>
                <w:rFonts w:ascii="宋体" w:hAnsi="宋体"/>
              </w:rPr>
            </w:pPr>
            <w:r>
              <w:rPr>
                <w:rFonts w:ascii="宋体" w:hAnsi="宋体"/>
              </w:rPr>
              <w:t>5</w:t>
            </w:r>
            <w:r>
              <w:rPr>
                <w:rFonts w:hint="eastAsia" w:ascii="宋体" w:hAnsi="宋体"/>
              </w:rPr>
              <w:t>.3</w:t>
            </w:r>
          </w:p>
        </w:tc>
        <w:tc>
          <w:tcPr>
            <w:tcW w:w="2542" w:type="dxa"/>
            <w:gridSpan w:val="2"/>
          </w:tcPr>
          <w:p w14:paraId="209C8F58">
            <w:pPr>
              <w:spacing w:line="360" w:lineRule="auto"/>
              <w:rPr>
                <w:rFonts w:ascii="宋体" w:hAnsi="宋体"/>
              </w:rPr>
            </w:pPr>
            <w:r>
              <w:rPr>
                <w:rFonts w:hint="eastAsia" w:ascii="宋体" w:hAnsi="宋体"/>
              </w:rPr>
              <w:t>服务主动性积极性</w:t>
            </w:r>
          </w:p>
        </w:tc>
        <w:tc>
          <w:tcPr>
            <w:tcW w:w="846" w:type="dxa"/>
          </w:tcPr>
          <w:p w14:paraId="3133E73B">
            <w:pPr>
              <w:spacing w:line="360" w:lineRule="auto"/>
              <w:jc w:val="center"/>
              <w:rPr>
                <w:rFonts w:ascii="宋体" w:hAnsi="宋体"/>
              </w:rPr>
            </w:pPr>
            <w:r>
              <w:rPr>
                <w:rFonts w:ascii="宋体" w:hAnsi="宋体"/>
              </w:rPr>
              <w:t>3</w:t>
            </w:r>
          </w:p>
        </w:tc>
        <w:tc>
          <w:tcPr>
            <w:tcW w:w="1007" w:type="dxa"/>
          </w:tcPr>
          <w:p w14:paraId="2F3A881E">
            <w:pPr>
              <w:spacing w:line="360" w:lineRule="auto"/>
              <w:jc w:val="center"/>
              <w:rPr>
                <w:rFonts w:ascii="宋体" w:hAnsi="宋体"/>
              </w:rPr>
            </w:pPr>
          </w:p>
        </w:tc>
        <w:tc>
          <w:tcPr>
            <w:tcW w:w="3119" w:type="dxa"/>
            <w:vMerge w:val="continue"/>
          </w:tcPr>
          <w:p w14:paraId="7384BDE3">
            <w:pPr>
              <w:spacing w:line="360" w:lineRule="auto"/>
              <w:rPr>
                <w:rFonts w:ascii="宋体" w:hAnsi="宋体"/>
              </w:rPr>
            </w:pPr>
          </w:p>
        </w:tc>
      </w:tr>
      <w:tr w14:paraId="497F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92" w:type="dxa"/>
            <w:gridSpan w:val="2"/>
          </w:tcPr>
          <w:p w14:paraId="2AEAB26D">
            <w:pPr>
              <w:spacing w:line="360" w:lineRule="auto"/>
              <w:jc w:val="center"/>
              <w:rPr>
                <w:rFonts w:hint="default" w:ascii="宋体" w:hAnsi="宋体" w:eastAsia="宋体"/>
                <w:lang w:val="en-US" w:eastAsia="zh-CN"/>
              </w:rPr>
            </w:pPr>
            <w:r>
              <w:rPr>
                <w:rFonts w:hint="eastAsia" w:ascii="宋体" w:hAnsi="宋体"/>
                <w:lang w:val="en-US" w:eastAsia="zh-CN"/>
              </w:rPr>
              <w:t>考核人签字</w:t>
            </w:r>
          </w:p>
        </w:tc>
        <w:tc>
          <w:tcPr>
            <w:tcW w:w="6363" w:type="dxa"/>
            <w:gridSpan w:val="4"/>
          </w:tcPr>
          <w:p w14:paraId="0B154189">
            <w:pPr>
              <w:spacing w:line="360" w:lineRule="auto"/>
              <w:rPr>
                <w:rFonts w:ascii="宋体" w:hAnsi="宋体"/>
              </w:rPr>
            </w:pPr>
          </w:p>
        </w:tc>
      </w:tr>
    </w:tbl>
    <w:p w14:paraId="4A7AA4D5">
      <w:pPr>
        <w:autoSpaceDE w:val="0"/>
        <w:autoSpaceDN w:val="0"/>
        <w:spacing w:line="312" w:lineRule="auto"/>
        <w:ind w:firstLine="632" w:firstLineChars="300"/>
        <w:rPr>
          <w:rFonts w:ascii="宋体" w:hAnsi="宋体" w:cs="宋体"/>
          <w:b/>
        </w:rPr>
      </w:pPr>
    </w:p>
    <w:p w14:paraId="5E1256F8">
      <w:pPr>
        <w:autoSpaceDE w:val="0"/>
        <w:autoSpaceDN w:val="0"/>
        <w:spacing w:line="312" w:lineRule="auto"/>
        <w:ind w:firstLine="632" w:firstLineChars="300"/>
        <w:rPr>
          <w:rFonts w:hint="eastAsia" w:ascii="宋体" w:hAnsi="宋体" w:cs="宋体"/>
        </w:rPr>
      </w:pPr>
      <w:r>
        <w:rPr>
          <w:rFonts w:hint="eastAsia" w:ascii="宋体" w:hAnsi="宋体" w:cs="宋体"/>
          <w:b/>
        </w:rPr>
        <w:t>注：</w:t>
      </w:r>
      <w:r>
        <w:rPr>
          <w:rFonts w:hint="eastAsia" w:ascii="宋体" w:hAnsi="宋体" w:cs="宋体"/>
        </w:rPr>
        <w:t xml:space="preserve"> 考核低于 80 分的，视为服务不合格，医院有权提前终止合同并扣减相关维保费用。</w:t>
      </w:r>
    </w:p>
    <w:p w14:paraId="080AA41D">
      <w:pPr>
        <w:pStyle w:val="2"/>
        <w:rPr>
          <w:rFonts w:hint="default"/>
          <w:lang w:val="en-US"/>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color w:val="auto"/>
          <w:sz w:val="24"/>
          <w:szCs w:val="24"/>
          <w:shd w:val="clear"/>
          <w:lang w:val="en-US" w:eastAsia="zh-CN"/>
        </w:rPr>
        <w:t xml:space="preserve"> </w:t>
      </w:r>
      <w:r>
        <w:rPr>
          <w:rFonts w:hint="eastAsia" w:asciiTheme="majorEastAsia" w:hAnsiTheme="majorEastAsia" w:eastAsiaTheme="majorEastAsia" w:cstheme="majorEastAsia"/>
          <w:b w:val="0"/>
          <w:bCs w:val="0"/>
          <w:color w:val="auto"/>
          <w:sz w:val="24"/>
          <w:szCs w:val="24"/>
          <w:shd w:val="clear"/>
          <w:lang w:val="en-US" w:eastAsia="zh-CN"/>
        </w:rPr>
        <w:t xml:space="preserve">     </w:t>
      </w:r>
      <w:r>
        <w:rPr>
          <w:rFonts w:hint="eastAsia" w:asciiTheme="majorEastAsia" w:hAnsiTheme="majorEastAsia" w:eastAsiaTheme="majorEastAsia" w:cstheme="majorEastAsia"/>
          <w:b w:val="0"/>
          <w:bCs w:val="0"/>
          <w:color w:val="auto"/>
          <w:sz w:val="30"/>
          <w:szCs w:val="30"/>
          <w:shd w:val="clear"/>
          <w:lang w:val="en-US" w:eastAsia="zh-CN"/>
        </w:rPr>
        <w:t>包号02   医院绩效管理系统维保</w:t>
      </w:r>
    </w:p>
    <w:p w14:paraId="288B98CC"/>
    <w:p w14:paraId="5546D9E3">
      <w:pPr>
        <w:rPr>
          <w:rFonts w:ascii="宋体" w:hAnsi="宋体" w:cs="宋体"/>
          <w:b/>
          <w:bCs/>
          <w:sz w:val="24"/>
          <w:szCs w:val="24"/>
          <w:lang w:bidi="ar"/>
        </w:rPr>
      </w:pPr>
      <w:r>
        <w:rPr>
          <w:rFonts w:hint="eastAsia" w:ascii="宋体" w:hAnsi="宋体" w:cs="宋体"/>
          <w:b/>
          <w:bCs/>
          <w:sz w:val="24"/>
          <w:szCs w:val="24"/>
        </w:rPr>
        <w:t>一、服务条款（根据本内容填写《服务条款偏离表》要求逐一响应，原则上均须全部响应，有一项不响应或未提供视为无效投标）</w:t>
      </w:r>
    </w:p>
    <w:p w14:paraId="4FF3DB7D">
      <w:pPr>
        <w:rPr>
          <w:rFonts w:ascii="宋体" w:hAnsi="宋体" w:cs="宋体"/>
          <w:sz w:val="24"/>
          <w:szCs w:val="24"/>
        </w:rPr>
      </w:pPr>
    </w:p>
    <w:p w14:paraId="3A8EBDF2">
      <w:pPr>
        <w:rPr>
          <w:rFonts w:ascii="宋体" w:hAnsi="宋体" w:cs="宋体"/>
          <w:b/>
          <w:bCs/>
          <w:sz w:val="24"/>
          <w:szCs w:val="24"/>
        </w:rPr>
      </w:pPr>
      <w:r>
        <w:rPr>
          <w:rFonts w:hint="eastAsia" w:ascii="宋体" w:hAnsi="宋体" w:cs="宋体"/>
          <w:b/>
          <w:bCs/>
          <w:sz w:val="24"/>
          <w:szCs w:val="24"/>
        </w:rPr>
        <w:t>（一）维保服务清单</w:t>
      </w:r>
    </w:p>
    <w:tbl>
      <w:tblPr>
        <w:tblStyle w:val="15"/>
        <w:tblW w:w="9454"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1329"/>
        <w:gridCol w:w="3020"/>
        <w:gridCol w:w="2105"/>
      </w:tblGrid>
      <w:tr w14:paraId="0C6A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48A63CB5">
            <w:pPr>
              <w:jc w:val="center"/>
              <w:rPr>
                <w:rFonts w:ascii="宋体" w:hAnsi="宋体" w:cs="宋体"/>
                <w:sz w:val="24"/>
                <w:szCs w:val="24"/>
              </w:rPr>
            </w:pPr>
            <w:r>
              <w:rPr>
                <w:rFonts w:hint="eastAsia" w:ascii="宋体" w:hAnsi="宋体" w:cs="宋体"/>
                <w:sz w:val="24"/>
                <w:szCs w:val="24"/>
              </w:rPr>
              <w:t>维保内容</w:t>
            </w:r>
          </w:p>
        </w:tc>
        <w:tc>
          <w:tcPr>
            <w:tcW w:w="1329" w:type="dxa"/>
          </w:tcPr>
          <w:p w14:paraId="79B04446">
            <w:pPr>
              <w:jc w:val="center"/>
              <w:rPr>
                <w:rFonts w:ascii="宋体" w:hAnsi="宋体" w:cs="宋体"/>
                <w:sz w:val="24"/>
                <w:szCs w:val="24"/>
              </w:rPr>
            </w:pPr>
            <w:r>
              <w:rPr>
                <w:rFonts w:hint="eastAsia" w:ascii="宋体" w:hAnsi="宋体" w:cs="宋体"/>
                <w:sz w:val="24"/>
                <w:szCs w:val="24"/>
              </w:rPr>
              <w:t>数量/单位</w:t>
            </w:r>
          </w:p>
        </w:tc>
        <w:tc>
          <w:tcPr>
            <w:tcW w:w="3020" w:type="dxa"/>
          </w:tcPr>
          <w:p w14:paraId="78A5BE0E">
            <w:pPr>
              <w:jc w:val="center"/>
              <w:rPr>
                <w:rFonts w:ascii="宋体" w:hAnsi="宋体" w:cs="宋体"/>
                <w:sz w:val="24"/>
                <w:szCs w:val="24"/>
              </w:rPr>
            </w:pPr>
            <w:r>
              <w:rPr>
                <w:rFonts w:hint="eastAsia" w:ascii="宋体" w:hAnsi="宋体" w:cs="宋体"/>
                <w:sz w:val="24"/>
                <w:szCs w:val="24"/>
              </w:rPr>
              <w:t>维保内容</w:t>
            </w:r>
          </w:p>
        </w:tc>
        <w:tc>
          <w:tcPr>
            <w:tcW w:w="2105" w:type="dxa"/>
          </w:tcPr>
          <w:p w14:paraId="6437E451">
            <w:pPr>
              <w:jc w:val="center"/>
              <w:rPr>
                <w:rFonts w:ascii="宋体" w:hAnsi="宋体" w:cs="宋体"/>
                <w:sz w:val="24"/>
                <w:szCs w:val="24"/>
              </w:rPr>
            </w:pPr>
            <w:r>
              <w:rPr>
                <w:rFonts w:hint="eastAsia" w:ascii="宋体" w:hAnsi="宋体" w:cs="宋体"/>
                <w:sz w:val="24"/>
                <w:szCs w:val="24"/>
              </w:rPr>
              <w:t>备注</w:t>
            </w:r>
          </w:p>
        </w:tc>
      </w:tr>
      <w:tr w14:paraId="4EFA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2AF84EA3">
            <w:pPr>
              <w:rPr>
                <w:rFonts w:hint="default" w:ascii="宋体" w:hAnsi="宋体" w:eastAsia="宋体" w:cs="宋体"/>
                <w:sz w:val="24"/>
                <w:szCs w:val="24"/>
                <w:lang w:val="en-US" w:eastAsia="zh-CN"/>
              </w:rPr>
            </w:pPr>
            <w:r>
              <w:rPr>
                <w:rFonts w:hint="eastAsia" w:ascii="宋体" w:hAnsi="宋体" w:cs="宋体"/>
                <w:sz w:val="24"/>
                <w:szCs w:val="24"/>
                <w:lang w:val="en-US" w:eastAsia="zh-CN"/>
              </w:rPr>
              <w:t>医院绩效管理系统</w:t>
            </w:r>
          </w:p>
        </w:tc>
        <w:tc>
          <w:tcPr>
            <w:tcW w:w="1329" w:type="dxa"/>
          </w:tcPr>
          <w:p w14:paraId="28995D96">
            <w:pPr>
              <w:rPr>
                <w:rFonts w:ascii="宋体" w:hAnsi="宋体" w:cs="宋体"/>
                <w:sz w:val="24"/>
                <w:szCs w:val="24"/>
              </w:rPr>
            </w:pPr>
            <w:r>
              <w:rPr>
                <w:rFonts w:hint="eastAsia" w:ascii="宋体" w:hAnsi="宋体" w:cs="宋体"/>
                <w:sz w:val="24"/>
                <w:szCs w:val="24"/>
              </w:rPr>
              <w:t>1套</w:t>
            </w:r>
          </w:p>
        </w:tc>
        <w:tc>
          <w:tcPr>
            <w:tcW w:w="3020" w:type="dxa"/>
          </w:tcPr>
          <w:p w14:paraId="7D63D6AB">
            <w:pPr>
              <w:rPr>
                <w:rFonts w:ascii="宋体" w:hAnsi="宋体" w:cs="宋体"/>
                <w:sz w:val="24"/>
                <w:szCs w:val="24"/>
              </w:rPr>
            </w:pPr>
            <w:r>
              <w:rPr>
                <w:rFonts w:hint="eastAsia" w:ascii="宋体" w:hAnsi="宋体" w:cs="宋体"/>
                <w:sz w:val="24"/>
                <w:szCs w:val="24"/>
              </w:rPr>
              <w:t>软件日常运维及问题处理</w:t>
            </w:r>
          </w:p>
        </w:tc>
        <w:tc>
          <w:tcPr>
            <w:tcW w:w="2105" w:type="dxa"/>
          </w:tcPr>
          <w:p w14:paraId="7212CCB9">
            <w:pPr>
              <w:rPr>
                <w:rFonts w:ascii="宋体" w:hAnsi="宋体" w:cs="宋体"/>
                <w:sz w:val="24"/>
                <w:szCs w:val="24"/>
              </w:rPr>
            </w:pPr>
            <w:r>
              <w:rPr>
                <w:rFonts w:hint="eastAsia" w:ascii="宋体" w:hAnsi="宋体" w:cs="宋体"/>
                <w:sz w:val="24"/>
                <w:szCs w:val="24"/>
              </w:rPr>
              <w:t>含所有诊区单元</w:t>
            </w:r>
          </w:p>
        </w:tc>
      </w:tr>
      <w:tr w14:paraId="0358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5B7B6203">
            <w:pPr>
              <w:rPr>
                <w:rFonts w:ascii="宋体" w:hAnsi="宋体" w:cs="宋体"/>
                <w:sz w:val="24"/>
                <w:szCs w:val="24"/>
              </w:rPr>
            </w:pPr>
            <w:r>
              <w:rPr>
                <w:rFonts w:hint="eastAsia" w:ascii="宋体" w:hAnsi="宋体" w:cs="宋体"/>
                <w:sz w:val="24"/>
                <w:szCs w:val="24"/>
              </w:rPr>
              <w:t>系统需求变更及接口优化</w:t>
            </w:r>
          </w:p>
        </w:tc>
        <w:tc>
          <w:tcPr>
            <w:tcW w:w="1329" w:type="dxa"/>
          </w:tcPr>
          <w:p w14:paraId="56531CC7">
            <w:pPr>
              <w:rPr>
                <w:rFonts w:ascii="宋体" w:hAnsi="宋体" w:cs="宋体"/>
                <w:sz w:val="24"/>
                <w:szCs w:val="24"/>
              </w:rPr>
            </w:pPr>
          </w:p>
        </w:tc>
        <w:tc>
          <w:tcPr>
            <w:tcW w:w="3020" w:type="dxa"/>
          </w:tcPr>
          <w:p w14:paraId="694BCD63">
            <w:pPr>
              <w:rPr>
                <w:rFonts w:ascii="宋体" w:hAnsi="宋体" w:cs="宋体"/>
                <w:sz w:val="24"/>
                <w:szCs w:val="24"/>
              </w:rPr>
            </w:pPr>
          </w:p>
        </w:tc>
        <w:tc>
          <w:tcPr>
            <w:tcW w:w="2105" w:type="dxa"/>
          </w:tcPr>
          <w:p w14:paraId="7EE9385D">
            <w:pPr>
              <w:rPr>
                <w:rFonts w:ascii="宋体" w:hAnsi="宋体" w:cs="宋体"/>
                <w:sz w:val="24"/>
                <w:szCs w:val="24"/>
              </w:rPr>
            </w:pPr>
            <w:r>
              <w:rPr>
                <w:rFonts w:hint="eastAsia" w:ascii="宋体" w:hAnsi="宋体" w:cs="宋体"/>
                <w:sz w:val="24"/>
                <w:szCs w:val="24"/>
              </w:rPr>
              <w:t>以实际需求为准</w:t>
            </w:r>
          </w:p>
        </w:tc>
      </w:tr>
      <w:tr w14:paraId="5724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56B298E6">
            <w:pPr>
              <w:rPr>
                <w:rFonts w:hint="default" w:ascii="宋体" w:hAnsi="宋体" w:eastAsia="宋体" w:cs="宋体"/>
                <w:sz w:val="24"/>
                <w:szCs w:val="24"/>
                <w:lang w:val="en-US" w:eastAsia="zh-CN"/>
              </w:rPr>
            </w:pPr>
            <w:r>
              <w:rPr>
                <w:rFonts w:hint="eastAsia" w:ascii="宋体" w:hAnsi="宋体" w:cs="宋体"/>
                <w:sz w:val="24"/>
                <w:szCs w:val="24"/>
                <w:lang w:val="en-US" w:eastAsia="zh-CN"/>
              </w:rPr>
              <w:t>绩效报表开发</w:t>
            </w:r>
          </w:p>
        </w:tc>
        <w:tc>
          <w:tcPr>
            <w:tcW w:w="1329" w:type="dxa"/>
          </w:tcPr>
          <w:p w14:paraId="15BCC160">
            <w:pPr>
              <w:rPr>
                <w:rFonts w:ascii="宋体" w:hAnsi="宋体" w:cs="宋体"/>
                <w:sz w:val="24"/>
                <w:szCs w:val="24"/>
              </w:rPr>
            </w:pPr>
          </w:p>
        </w:tc>
        <w:tc>
          <w:tcPr>
            <w:tcW w:w="3020" w:type="dxa"/>
          </w:tcPr>
          <w:p w14:paraId="460B8239">
            <w:pPr>
              <w:rPr>
                <w:rFonts w:ascii="宋体" w:hAnsi="宋体" w:cs="宋体"/>
                <w:sz w:val="24"/>
                <w:szCs w:val="24"/>
              </w:rPr>
            </w:pPr>
          </w:p>
        </w:tc>
        <w:tc>
          <w:tcPr>
            <w:tcW w:w="2105" w:type="dxa"/>
            <w:shd w:val="clear" w:color="auto" w:fill="auto"/>
            <w:vAlign w:val="top"/>
          </w:tcPr>
          <w:p w14:paraId="3CD3BB24">
            <w:pP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以实际需求为准</w:t>
            </w:r>
          </w:p>
        </w:tc>
      </w:tr>
      <w:tr w14:paraId="18A6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11437C2A">
            <w:pPr>
              <w:rPr>
                <w:rFonts w:ascii="宋体" w:hAnsi="宋体" w:cs="宋体"/>
                <w:sz w:val="24"/>
                <w:szCs w:val="24"/>
              </w:rPr>
            </w:pPr>
            <w:r>
              <w:rPr>
                <w:rFonts w:hint="eastAsia" w:ascii="宋体" w:hAnsi="宋体" w:cs="宋体"/>
                <w:sz w:val="24"/>
                <w:szCs w:val="24"/>
              </w:rPr>
              <w:t>政策性调整功能优化</w:t>
            </w:r>
          </w:p>
        </w:tc>
        <w:tc>
          <w:tcPr>
            <w:tcW w:w="1329" w:type="dxa"/>
          </w:tcPr>
          <w:p w14:paraId="7054983B">
            <w:pPr>
              <w:rPr>
                <w:rFonts w:ascii="宋体" w:hAnsi="宋体" w:cs="宋体"/>
                <w:sz w:val="24"/>
                <w:szCs w:val="24"/>
              </w:rPr>
            </w:pPr>
          </w:p>
        </w:tc>
        <w:tc>
          <w:tcPr>
            <w:tcW w:w="3020" w:type="dxa"/>
          </w:tcPr>
          <w:p w14:paraId="67AB972C">
            <w:pPr>
              <w:rPr>
                <w:rFonts w:ascii="宋体" w:hAnsi="宋体" w:cs="宋体"/>
                <w:sz w:val="24"/>
                <w:szCs w:val="24"/>
              </w:rPr>
            </w:pPr>
          </w:p>
        </w:tc>
        <w:tc>
          <w:tcPr>
            <w:tcW w:w="2105" w:type="dxa"/>
          </w:tcPr>
          <w:p w14:paraId="716F9B2D">
            <w:pPr>
              <w:rPr>
                <w:rFonts w:hint="default" w:ascii="宋体" w:hAnsi="宋体" w:eastAsia="宋体" w:cs="宋体"/>
                <w:sz w:val="24"/>
                <w:szCs w:val="24"/>
                <w:lang w:val="en-US" w:eastAsia="zh-CN"/>
              </w:rPr>
            </w:pPr>
            <w:r>
              <w:rPr>
                <w:rFonts w:hint="eastAsia" w:ascii="宋体" w:hAnsi="宋体" w:cs="宋体"/>
                <w:sz w:val="24"/>
                <w:szCs w:val="24"/>
                <w:lang w:val="en-US" w:eastAsia="zh-CN"/>
              </w:rPr>
              <w:t>以实际需求为准</w:t>
            </w:r>
          </w:p>
        </w:tc>
      </w:tr>
      <w:tr w14:paraId="78AD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19ECC80E">
            <w:pPr>
              <w:rPr>
                <w:rFonts w:hint="default" w:ascii="宋体" w:hAnsi="宋体" w:eastAsia="宋体" w:cs="宋体"/>
                <w:sz w:val="24"/>
                <w:szCs w:val="24"/>
                <w:lang w:val="en-US" w:eastAsia="zh-CN"/>
              </w:rPr>
            </w:pPr>
            <w:r>
              <w:rPr>
                <w:rFonts w:hint="eastAsia" w:ascii="宋体" w:hAnsi="宋体" w:cs="宋体"/>
                <w:sz w:val="24"/>
                <w:szCs w:val="24"/>
                <w:lang w:val="en-US" w:eastAsia="zh-CN"/>
              </w:rPr>
              <w:t>系统应用服务、数据库日常巡检服务及现场服务</w:t>
            </w:r>
          </w:p>
        </w:tc>
        <w:tc>
          <w:tcPr>
            <w:tcW w:w="1329" w:type="dxa"/>
          </w:tcPr>
          <w:p w14:paraId="356B409F">
            <w:pPr>
              <w:rPr>
                <w:rFonts w:ascii="宋体" w:hAnsi="宋体" w:cs="宋体"/>
                <w:sz w:val="24"/>
                <w:szCs w:val="24"/>
              </w:rPr>
            </w:pPr>
          </w:p>
        </w:tc>
        <w:tc>
          <w:tcPr>
            <w:tcW w:w="3020" w:type="dxa"/>
          </w:tcPr>
          <w:p w14:paraId="479CC2F3">
            <w:pPr>
              <w:rPr>
                <w:rFonts w:hint="default" w:ascii="宋体" w:hAnsi="宋体" w:eastAsia="宋体" w:cs="宋体"/>
                <w:sz w:val="24"/>
                <w:szCs w:val="24"/>
                <w:lang w:val="en-US" w:eastAsia="zh-CN"/>
              </w:rPr>
            </w:pPr>
            <w:r>
              <w:rPr>
                <w:rFonts w:hint="eastAsia" w:ascii="宋体" w:hAnsi="宋体" w:cs="宋体"/>
                <w:sz w:val="24"/>
                <w:szCs w:val="24"/>
                <w:lang w:val="en-US" w:eastAsia="zh-CN"/>
              </w:rPr>
              <w:t>每月至少一次现场巡检有技术服务</w:t>
            </w:r>
          </w:p>
        </w:tc>
        <w:tc>
          <w:tcPr>
            <w:tcW w:w="2105" w:type="dxa"/>
          </w:tcPr>
          <w:p w14:paraId="3747CD8C">
            <w:pPr>
              <w:rPr>
                <w:rFonts w:hint="default" w:ascii="宋体" w:hAnsi="宋体" w:eastAsia="宋体" w:cs="宋体"/>
                <w:sz w:val="24"/>
                <w:szCs w:val="24"/>
                <w:lang w:val="en-US" w:eastAsia="zh-CN"/>
              </w:rPr>
            </w:pPr>
          </w:p>
        </w:tc>
      </w:tr>
      <w:tr w14:paraId="3117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14:paraId="32299CB1">
            <w:pPr>
              <w:rPr>
                <w:rFonts w:hint="default" w:ascii="宋体" w:hAnsi="宋体" w:cs="宋体"/>
                <w:sz w:val="24"/>
                <w:szCs w:val="24"/>
                <w:lang w:val="en-US" w:eastAsia="zh-CN"/>
              </w:rPr>
            </w:pPr>
            <w:r>
              <w:rPr>
                <w:rFonts w:hint="eastAsia" w:ascii="宋体" w:hAnsi="宋体" w:cs="宋体"/>
                <w:sz w:val="24"/>
                <w:szCs w:val="24"/>
                <w:lang w:val="en-US" w:eastAsia="zh-CN"/>
              </w:rPr>
              <w:t>系统应急处理及重大灾难事件后数据恢复协助</w:t>
            </w:r>
          </w:p>
        </w:tc>
        <w:tc>
          <w:tcPr>
            <w:tcW w:w="1329" w:type="dxa"/>
          </w:tcPr>
          <w:p w14:paraId="39250836">
            <w:pPr>
              <w:rPr>
                <w:rFonts w:ascii="宋体" w:hAnsi="宋体" w:cs="宋体"/>
                <w:sz w:val="24"/>
                <w:szCs w:val="24"/>
              </w:rPr>
            </w:pPr>
          </w:p>
        </w:tc>
        <w:tc>
          <w:tcPr>
            <w:tcW w:w="3020" w:type="dxa"/>
          </w:tcPr>
          <w:p w14:paraId="538A5CAB">
            <w:pPr>
              <w:rPr>
                <w:rFonts w:ascii="宋体" w:hAnsi="宋体" w:cs="宋体"/>
                <w:sz w:val="24"/>
                <w:szCs w:val="24"/>
              </w:rPr>
            </w:pPr>
          </w:p>
        </w:tc>
        <w:tc>
          <w:tcPr>
            <w:tcW w:w="2105" w:type="dxa"/>
          </w:tcPr>
          <w:p w14:paraId="2C8D3292">
            <w:pPr>
              <w:rPr>
                <w:rFonts w:hint="default" w:ascii="宋体" w:hAnsi="宋体" w:eastAsia="宋体" w:cs="宋体"/>
                <w:sz w:val="24"/>
                <w:szCs w:val="24"/>
                <w:lang w:val="en-US" w:eastAsia="zh-CN"/>
              </w:rPr>
            </w:pPr>
          </w:p>
        </w:tc>
      </w:tr>
    </w:tbl>
    <w:p w14:paraId="4C20B3F5">
      <w:pPr>
        <w:ind w:firstLine="1328" w:firstLineChars="551"/>
        <w:rPr>
          <w:rFonts w:ascii="宋体" w:hAnsi="宋体" w:cs="宋体"/>
          <w:b/>
          <w:bCs/>
          <w:sz w:val="24"/>
          <w:szCs w:val="24"/>
        </w:rPr>
      </w:pPr>
    </w:p>
    <w:p w14:paraId="397812AA">
      <w:pPr>
        <w:rPr>
          <w:rFonts w:ascii="宋体" w:hAnsi="宋体" w:cs="宋体"/>
          <w:b/>
          <w:bCs/>
          <w:sz w:val="24"/>
          <w:szCs w:val="24"/>
        </w:rPr>
      </w:pPr>
      <w:r>
        <w:rPr>
          <w:rFonts w:hint="eastAsia" w:ascii="宋体" w:hAnsi="宋体" w:cs="宋体"/>
          <w:b/>
          <w:bCs/>
          <w:sz w:val="24"/>
          <w:szCs w:val="24"/>
        </w:rPr>
        <w:t>（二）维保服务要求</w:t>
      </w:r>
    </w:p>
    <w:p w14:paraId="49897210">
      <w:pPr>
        <w:numPr>
          <w:ilvl w:val="0"/>
          <w:numId w:val="0"/>
        </w:numPr>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乙方应按照国家有关法律法规规章规定以及采购、投标文件所规定的“服务承诺”提供服务。</w:t>
      </w:r>
    </w:p>
    <w:p w14:paraId="673E2B70">
      <w:pPr>
        <w:numPr>
          <w:ilvl w:val="0"/>
          <w:numId w:val="0"/>
        </w:numPr>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本次维保内容主要为门诊叫号全套软件系统维保</w:t>
      </w:r>
      <w:r>
        <w:rPr>
          <w:rFonts w:hint="eastAsia" w:ascii="宋体" w:hAnsi="宋体" w:cs="宋体"/>
          <w:sz w:val="24"/>
          <w:szCs w:val="24"/>
          <w:lang w:eastAsia="zh-CN"/>
        </w:rPr>
        <w:t>、</w:t>
      </w:r>
      <w:r>
        <w:rPr>
          <w:rFonts w:hint="eastAsia" w:ascii="宋体" w:hAnsi="宋体" w:cs="宋体"/>
          <w:sz w:val="24"/>
          <w:szCs w:val="24"/>
        </w:rPr>
        <w:t>硬件对接管理，系统更新优化、第三方对接、报表开发</w:t>
      </w:r>
      <w:r>
        <w:rPr>
          <w:rFonts w:hint="eastAsia" w:ascii="宋体" w:hAnsi="宋体" w:cs="宋体"/>
          <w:sz w:val="24"/>
          <w:szCs w:val="24"/>
          <w:lang w:val="en-US" w:eastAsia="zh-CN"/>
        </w:rPr>
        <w:t>及部分硬件设备的故障维修和配件更换</w:t>
      </w:r>
      <w:r>
        <w:rPr>
          <w:rFonts w:hint="eastAsia" w:ascii="宋体" w:hAnsi="宋体" w:cs="宋体"/>
          <w:sz w:val="24"/>
          <w:szCs w:val="24"/>
        </w:rPr>
        <w:t>等</w:t>
      </w:r>
    </w:p>
    <w:p w14:paraId="77794705">
      <w:pPr>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除前款规定外，乙方还应提供下列服务：</w:t>
      </w:r>
    </w:p>
    <w:p w14:paraId="60C08FD7">
      <w:pPr>
        <w:ind w:firstLine="480" w:firstLineChars="200"/>
        <w:rPr>
          <w:rFonts w:ascii="宋体" w:hAnsi="宋体" w:cs="宋体"/>
          <w:sz w:val="24"/>
          <w:szCs w:val="24"/>
        </w:rPr>
      </w:pPr>
      <w:r>
        <w:rPr>
          <w:rFonts w:hint="eastAsia" w:ascii="宋体" w:hAnsi="宋体" w:cs="宋体"/>
          <w:sz w:val="24"/>
          <w:szCs w:val="24"/>
        </w:rPr>
        <w:t>（1）维保期内乙方提供专人负责本项目并提供7×24小时技术服务和免费上门维护服务，质保费用计入总价。</w:t>
      </w:r>
    </w:p>
    <w:p w14:paraId="25E8D774">
      <w:pPr>
        <w:ind w:firstLine="480" w:firstLineChars="200"/>
        <w:rPr>
          <w:rFonts w:ascii="宋体" w:hAnsi="宋体" w:cs="宋体"/>
          <w:sz w:val="24"/>
          <w:szCs w:val="24"/>
        </w:rPr>
      </w:pPr>
      <w:r>
        <w:rPr>
          <w:rFonts w:hint="eastAsia" w:ascii="宋体" w:hAnsi="宋体" w:cs="宋体"/>
          <w:sz w:val="24"/>
          <w:szCs w:val="24"/>
        </w:rPr>
        <w:t>（2）乙方在接到甲方报修电话后15分钟之内响应，2小时内到达现场，4小时内解决问题，否则甲方可自行采取必要的措施，由此产生的风险和费用由乙方承担。如有特殊情况，乙方应立即电话通知甲方不能响应的原因，在获得甲方同意后，才可推迟响应时间。</w:t>
      </w:r>
    </w:p>
    <w:p w14:paraId="033A4312">
      <w:pPr>
        <w:ind w:firstLine="480" w:firstLineChars="200"/>
        <w:rPr>
          <w:rFonts w:ascii="宋体" w:hAnsi="宋体" w:cs="宋体"/>
          <w:sz w:val="24"/>
          <w:szCs w:val="24"/>
        </w:rPr>
      </w:pPr>
      <w:r>
        <w:rPr>
          <w:rFonts w:hint="eastAsia" w:ascii="宋体" w:hAnsi="宋体" w:cs="宋体"/>
          <w:sz w:val="24"/>
          <w:szCs w:val="24"/>
        </w:rPr>
        <w:t>（3）维保期内乙方应每年至少提供 4 次定期现场维护及巡检。质保记录应经甲方负责人签字确认并留有书面记录备查，维保期内，若乙方未按质保要求进行质保服务或缺少巡检质保记录，乙方须向甲方支付违约金1000元/次。</w:t>
      </w:r>
    </w:p>
    <w:p w14:paraId="230C5CE9">
      <w:pPr>
        <w:ind w:firstLine="480" w:firstLineChars="200"/>
        <w:rPr>
          <w:rFonts w:ascii="宋体" w:hAnsi="宋体" w:cs="宋体"/>
          <w:sz w:val="24"/>
          <w:szCs w:val="24"/>
        </w:rPr>
      </w:pPr>
      <w:r>
        <w:rPr>
          <w:rFonts w:hint="eastAsia" w:ascii="宋体" w:hAnsi="宋体" w:cs="宋体"/>
          <w:sz w:val="24"/>
          <w:szCs w:val="24"/>
        </w:rPr>
        <w:t>（5）无论在维保期内还是维保期外，乙方工程师按照甲方指定的方式或指定地点进行维护，必须做好维保记录，包括但不限于：服务人员出入记录、服务开始时间、服务结束时间、服务人员姓名、服务人数、服务地点、服务内容、服务结果等。否则引起的一切责任由乙方负责。</w:t>
      </w:r>
    </w:p>
    <w:p w14:paraId="6E190FF7">
      <w:pPr>
        <w:ind w:firstLine="480" w:firstLineChars="200"/>
        <w:rPr>
          <w:rFonts w:ascii="宋体" w:hAnsi="宋体" w:cs="宋体"/>
          <w:sz w:val="24"/>
          <w:szCs w:val="24"/>
        </w:rPr>
      </w:pPr>
      <w:r>
        <w:rPr>
          <w:rFonts w:hint="eastAsia" w:ascii="宋体" w:hAnsi="宋体" w:cs="宋体"/>
          <w:sz w:val="24"/>
          <w:szCs w:val="24"/>
        </w:rPr>
        <w:t>（6）乙方负责免费软件升级，保证软件为最新、最高版本。</w:t>
      </w:r>
    </w:p>
    <w:p w14:paraId="720AC62E">
      <w:pPr>
        <w:ind w:firstLine="480" w:firstLineChars="200"/>
        <w:rPr>
          <w:rFonts w:ascii="宋体" w:hAnsi="宋体" w:cs="宋体"/>
          <w:sz w:val="24"/>
          <w:szCs w:val="24"/>
        </w:rPr>
      </w:pPr>
      <w:r>
        <w:rPr>
          <w:rFonts w:hint="eastAsia" w:ascii="宋体" w:hAnsi="宋体" w:cs="宋体"/>
          <w:sz w:val="24"/>
          <w:szCs w:val="24"/>
        </w:rPr>
        <w:t>（7）乙方需要提供重大活动现场应急保障。</w:t>
      </w:r>
    </w:p>
    <w:p w14:paraId="6EDA17CB">
      <w:pPr>
        <w:ind w:firstLine="480" w:firstLineChars="200"/>
        <w:rPr>
          <w:rFonts w:ascii="宋体" w:hAnsi="宋体" w:cs="宋体"/>
          <w:sz w:val="24"/>
          <w:szCs w:val="24"/>
        </w:rPr>
      </w:pPr>
      <w:r>
        <w:rPr>
          <w:rFonts w:hint="eastAsia" w:ascii="宋体" w:hAnsi="宋体" w:cs="宋体"/>
          <w:sz w:val="24"/>
          <w:szCs w:val="24"/>
        </w:rPr>
        <w:t>（8）政策性文件要求，乙方需及时全程配合甲方进行相关接口开发。</w:t>
      </w:r>
    </w:p>
    <w:p w14:paraId="35BD5B16">
      <w:pPr>
        <w:ind w:firstLine="480" w:firstLineChars="200"/>
        <w:rPr>
          <w:rFonts w:ascii="宋体" w:hAnsi="宋体" w:cs="宋体"/>
          <w:sz w:val="24"/>
          <w:szCs w:val="24"/>
        </w:rPr>
      </w:pPr>
      <w:r>
        <w:rPr>
          <w:rFonts w:hint="eastAsia" w:ascii="宋体" w:hAnsi="宋体" w:cs="宋体"/>
          <w:sz w:val="24"/>
          <w:szCs w:val="24"/>
        </w:rPr>
        <w:t>（9）乙方需配合院方后续临床业务闭环流程优化。</w:t>
      </w:r>
    </w:p>
    <w:p w14:paraId="08E0829C">
      <w:pPr>
        <w:ind w:firstLine="480" w:firstLineChars="200"/>
        <w:rPr>
          <w:rFonts w:ascii="宋体" w:hAnsi="宋体" w:cs="宋体"/>
          <w:sz w:val="24"/>
          <w:szCs w:val="24"/>
        </w:rPr>
      </w:pPr>
      <w:r>
        <w:rPr>
          <w:rFonts w:hint="eastAsia" w:ascii="宋体" w:hAnsi="宋体" w:cs="宋体"/>
          <w:sz w:val="24"/>
          <w:szCs w:val="24"/>
        </w:rPr>
        <w:t>（10）乙方负责逐步将诊区叫号屏系统由windows更换为安卓系统，以应对诊间屏主机故障频发的现象。</w:t>
      </w:r>
    </w:p>
    <w:p w14:paraId="2F2E3AB9">
      <w:pPr>
        <w:ind w:firstLine="480" w:firstLineChars="200"/>
        <w:rPr>
          <w:rFonts w:ascii="宋体" w:hAnsi="宋体" w:cs="宋体"/>
          <w:sz w:val="24"/>
          <w:szCs w:val="24"/>
        </w:rPr>
      </w:pPr>
      <w:r>
        <w:rPr>
          <w:rFonts w:hint="eastAsia" w:ascii="宋体" w:hAnsi="宋体" w:cs="宋体"/>
          <w:sz w:val="24"/>
          <w:szCs w:val="24"/>
        </w:rPr>
        <w:t>（11）若货物故障在检修8工作小时后仍无法排除，乙方应在48小时内免费提供不低于故障货物规格型号档次的备用货物供甲方使用，直至故障货物修复。同时乙方承担货物因需要返厂维修而产生运输、搬运等相关费用。</w:t>
      </w:r>
    </w:p>
    <w:p w14:paraId="6D24EB0B">
      <w:pPr>
        <w:ind w:firstLine="480" w:firstLineChars="200"/>
        <w:rPr>
          <w:rFonts w:ascii="宋体" w:hAnsi="宋体" w:cs="宋体"/>
          <w:sz w:val="24"/>
          <w:szCs w:val="24"/>
        </w:rPr>
      </w:pPr>
      <w:r>
        <w:rPr>
          <w:rFonts w:hint="eastAsia" w:ascii="宋体" w:hAnsi="宋体" w:cs="宋体"/>
          <w:sz w:val="24"/>
          <w:szCs w:val="24"/>
        </w:rPr>
        <w:t>（12）技术培训：在安装过程中或安装结束后，乙方工程师或有关人员有义务对甲方工程师和操作人员进行现场维护、操作培训并提供快捷操作指南，解答甲方人员提出的问题。必要时提供正规培训班培训，确保操作人员掌握完成日常工作所需的基本操作方法为止，工程师掌握基本的维护操作技术为止。</w:t>
      </w:r>
    </w:p>
    <w:p w14:paraId="145EB42F">
      <w:pPr>
        <w:ind w:firstLine="480" w:firstLineChars="200"/>
        <w:rPr>
          <w:rFonts w:ascii="宋体" w:hAnsi="宋体" w:cs="宋体"/>
          <w:sz w:val="24"/>
          <w:szCs w:val="24"/>
        </w:rPr>
      </w:pPr>
      <w:r>
        <w:rPr>
          <w:rFonts w:hint="eastAsia" w:ascii="宋体" w:hAnsi="宋体" w:cs="宋体"/>
          <w:sz w:val="24"/>
          <w:szCs w:val="24"/>
        </w:rPr>
        <w:t>涉及范围，门诊排队叫号，大厅专家介绍，检查排队叫号，检验排队叫号，输液室排队叫号，换药室排队叫号，药房排队叫号，住院处排队叫号</w:t>
      </w:r>
    </w:p>
    <w:p w14:paraId="55A10BD0">
      <w:pPr>
        <w:rPr>
          <w:rFonts w:ascii="宋体" w:hAnsi="宋体" w:cs="宋体"/>
          <w:sz w:val="24"/>
          <w:szCs w:val="24"/>
        </w:rPr>
      </w:pPr>
    </w:p>
    <w:p w14:paraId="1489F56A">
      <w:pPr>
        <w:rPr>
          <w:rFonts w:ascii="宋体" w:hAnsi="宋体" w:cs="宋体"/>
          <w:sz w:val="24"/>
          <w:szCs w:val="24"/>
        </w:rPr>
      </w:pPr>
      <w:r>
        <w:rPr>
          <w:rFonts w:hint="eastAsia" w:ascii="宋体" w:hAnsi="宋体" w:cs="宋体"/>
          <w:sz w:val="24"/>
          <w:szCs w:val="24"/>
        </w:rPr>
        <w:t>二、</w:t>
      </w:r>
      <w:r>
        <w:rPr>
          <w:rFonts w:hint="eastAsia" w:ascii="宋体" w:hAnsi="宋体" w:cs="宋体"/>
          <w:b/>
          <w:bCs/>
          <w:sz w:val="24"/>
          <w:szCs w:val="24"/>
        </w:rPr>
        <w:t>商务条款（根据本内容填写《商务条款偏离表》要求逐一响应，原则上均须全部响应，有一项不响应或未提供视为无效投标）</w:t>
      </w:r>
    </w:p>
    <w:p w14:paraId="3CE517E3">
      <w:pPr>
        <w:rPr>
          <w:rFonts w:ascii="宋体" w:hAnsi="宋体" w:cs="宋体"/>
          <w:sz w:val="24"/>
          <w:szCs w:val="24"/>
        </w:rPr>
      </w:pPr>
      <w:r>
        <w:rPr>
          <w:rFonts w:hint="eastAsia" w:ascii="宋体" w:hAnsi="宋体" w:cs="宋体"/>
          <w:sz w:val="24"/>
          <w:szCs w:val="24"/>
        </w:rPr>
        <w:t>（一）服务时间：三年，合同一年一签。甲方根据乙方的服务情况决定是否与乙方续签下一年度的合同。</w:t>
      </w:r>
    </w:p>
    <w:p w14:paraId="6A07C495">
      <w:pPr>
        <w:rPr>
          <w:rFonts w:ascii="宋体" w:hAnsi="宋体" w:cs="宋体"/>
          <w:sz w:val="24"/>
          <w:szCs w:val="24"/>
        </w:rPr>
      </w:pPr>
      <w:r>
        <w:rPr>
          <w:rFonts w:hint="eastAsia" w:ascii="宋体" w:hAnsi="宋体" w:cs="宋体"/>
          <w:sz w:val="24"/>
          <w:szCs w:val="24"/>
        </w:rPr>
        <w:t>（二）付款方式：每年度服务期满后，乙方开具符合国家规定的发票，甲方按医院正常付款流程支付全款。</w:t>
      </w:r>
    </w:p>
    <w:p w14:paraId="30B862D0">
      <w:pPr>
        <w:rPr>
          <w:rFonts w:ascii="宋体" w:hAnsi="宋体" w:cs="宋体"/>
          <w:sz w:val="24"/>
          <w:szCs w:val="24"/>
        </w:rPr>
      </w:pPr>
      <w:r>
        <w:rPr>
          <w:rFonts w:hint="eastAsia" w:ascii="宋体" w:hAnsi="宋体" w:cs="宋体"/>
          <w:sz w:val="24"/>
          <w:szCs w:val="24"/>
        </w:rPr>
        <w:t>（三）违约责任</w:t>
      </w:r>
    </w:p>
    <w:p w14:paraId="00873D67">
      <w:pPr>
        <w:ind w:firstLine="480" w:firstLineChars="200"/>
        <w:rPr>
          <w:rFonts w:ascii="宋体" w:hAnsi="宋体" w:cs="宋体"/>
          <w:sz w:val="24"/>
          <w:szCs w:val="24"/>
        </w:rPr>
      </w:pPr>
      <w:r>
        <w:rPr>
          <w:rFonts w:hint="eastAsia" w:ascii="宋体" w:hAnsi="宋体" w:cs="宋体"/>
          <w:sz w:val="24"/>
          <w:szCs w:val="24"/>
        </w:rPr>
        <w:t>乙方必须在维保期内保证甲方投保软硬件的正常运行，不得拖延维修时间或恶意逃避责任，如果对甲方产生业务影响，乙方应按合同总价的30%向甲方承担赔偿责任。</w:t>
      </w:r>
    </w:p>
    <w:p w14:paraId="25AED5A3">
      <w:pPr>
        <w:rPr>
          <w:rFonts w:hint="default" w:ascii="宋体" w:hAnsi="宋体" w:cs="宋体"/>
          <w:sz w:val="24"/>
          <w:szCs w:val="24"/>
          <w:lang w:val="en-US" w:eastAsia="zh-CN"/>
        </w:rPr>
      </w:pPr>
      <w:r>
        <w:rPr>
          <w:rFonts w:hint="eastAsia" w:ascii="宋体" w:hAnsi="宋体" w:cs="宋体"/>
          <w:sz w:val="24"/>
          <w:szCs w:val="24"/>
        </w:rPr>
        <w:t>（四）</w:t>
      </w:r>
      <w:r>
        <w:rPr>
          <w:rFonts w:hint="eastAsia" w:ascii="宋体" w:hAnsi="宋体" w:cs="宋体"/>
          <w:sz w:val="24"/>
          <w:szCs w:val="24"/>
          <w:lang w:val="en-US" w:eastAsia="zh-CN"/>
        </w:rPr>
        <w:t>乙方在维保期间必须保持认真负责的态度，积极快速的及时解决系统问题，持续优化系统功能，积极响应甲方系统需求，并将接受甲方的维保考核，考核不及格将对维保金额进行扣罚处理。（考核表见下表）</w:t>
      </w:r>
    </w:p>
    <w:p w14:paraId="326B9A02">
      <w:pPr>
        <w:spacing w:line="360" w:lineRule="auto"/>
        <w:jc w:val="center"/>
        <w:rPr>
          <w:rFonts w:ascii="黑体" w:hAnsi="宋体" w:eastAsia="黑体"/>
          <w:sz w:val="36"/>
          <w:szCs w:val="36"/>
        </w:rPr>
      </w:pPr>
      <w:r>
        <w:rPr>
          <w:rFonts w:hint="eastAsia" w:ascii="黑体" w:hAnsi="宋体" w:eastAsia="黑体"/>
          <w:sz w:val="36"/>
          <w:szCs w:val="36"/>
        </w:rPr>
        <w:t xml:space="preserve">   维保服务年度考核表      </w:t>
      </w:r>
      <w:r>
        <w:rPr>
          <w:rFonts w:hint="eastAsia" w:ascii="黑体" w:hAnsi="宋体" w:eastAsia="黑体"/>
        </w:rPr>
        <w:t>日期：</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51"/>
        <w:gridCol w:w="1391"/>
        <w:gridCol w:w="846"/>
        <w:gridCol w:w="1007"/>
        <w:gridCol w:w="3119"/>
      </w:tblGrid>
      <w:tr w14:paraId="17C8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03BC48F1">
            <w:pPr>
              <w:spacing w:line="360" w:lineRule="auto"/>
              <w:jc w:val="center"/>
              <w:rPr>
                <w:rFonts w:ascii="宋体" w:hAnsi="宋体"/>
              </w:rPr>
            </w:pPr>
            <w:r>
              <w:rPr>
                <w:rFonts w:hint="eastAsia" w:ascii="宋体" w:hAnsi="宋体"/>
              </w:rPr>
              <w:t>序号</w:t>
            </w:r>
          </w:p>
        </w:tc>
        <w:tc>
          <w:tcPr>
            <w:tcW w:w="2542" w:type="dxa"/>
            <w:gridSpan w:val="2"/>
          </w:tcPr>
          <w:p w14:paraId="5F1A180B">
            <w:pPr>
              <w:spacing w:line="360" w:lineRule="auto"/>
              <w:jc w:val="center"/>
              <w:rPr>
                <w:rFonts w:ascii="宋体" w:hAnsi="宋体"/>
              </w:rPr>
            </w:pPr>
            <w:r>
              <w:rPr>
                <w:rFonts w:hint="eastAsia" w:ascii="宋体" w:hAnsi="宋体"/>
              </w:rPr>
              <w:t>考核项目/子项</w:t>
            </w:r>
          </w:p>
        </w:tc>
        <w:tc>
          <w:tcPr>
            <w:tcW w:w="846" w:type="dxa"/>
          </w:tcPr>
          <w:p w14:paraId="5B58A6BF">
            <w:pPr>
              <w:spacing w:line="360" w:lineRule="auto"/>
              <w:jc w:val="center"/>
              <w:rPr>
                <w:rFonts w:ascii="宋体" w:hAnsi="宋体"/>
              </w:rPr>
            </w:pPr>
            <w:r>
              <w:rPr>
                <w:rFonts w:hint="eastAsia" w:ascii="宋体" w:hAnsi="宋体"/>
              </w:rPr>
              <w:t>满分值</w:t>
            </w:r>
          </w:p>
        </w:tc>
        <w:tc>
          <w:tcPr>
            <w:tcW w:w="1007" w:type="dxa"/>
          </w:tcPr>
          <w:p w14:paraId="47DEB2FC">
            <w:pPr>
              <w:spacing w:line="360" w:lineRule="auto"/>
              <w:jc w:val="center"/>
              <w:rPr>
                <w:rFonts w:ascii="宋体" w:hAnsi="宋体"/>
              </w:rPr>
            </w:pPr>
            <w:r>
              <w:rPr>
                <w:rFonts w:hint="eastAsia" w:ascii="宋体" w:hAnsi="宋体"/>
              </w:rPr>
              <w:t>评分</w:t>
            </w:r>
          </w:p>
        </w:tc>
        <w:tc>
          <w:tcPr>
            <w:tcW w:w="3119" w:type="dxa"/>
          </w:tcPr>
          <w:p w14:paraId="4BA46741">
            <w:pPr>
              <w:spacing w:line="360" w:lineRule="auto"/>
              <w:jc w:val="center"/>
              <w:rPr>
                <w:rFonts w:ascii="宋体" w:hAnsi="宋体"/>
              </w:rPr>
            </w:pPr>
            <w:r>
              <w:rPr>
                <w:rFonts w:hint="eastAsia" w:ascii="宋体" w:hAnsi="宋体"/>
              </w:rPr>
              <w:t>计分方式</w:t>
            </w:r>
          </w:p>
        </w:tc>
      </w:tr>
      <w:tr w14:paraId="0AE9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38F20CD8">
            <w:pPr>
              <w:spacing w:line="360" w:lineRule="auto"/>
              <w:rPr>
                <w:rFonts w:ascii="宋体" w:hAnsi="宋体"/>
              </w:rPr>
            </w:pPr>
            <w:r>
              <w:rPr>
                <w:rFonts w:hint="eastAsia" w:ascii="宋体" w:hAnsi="宋体"/>
              </w:rPr>
              <w:t>1</w:t>
            </w:r>
          </w:p>
        </w:tc>
        <w:tc>
          <w:tcPr>
            <w:tcW w:w="2542" w:type="dxa"/>
            <w:gridSpan w:val="2"/>
          </w:tcPr>
          <w:p w14:paraId="14D95AE2">
            <w:pPr>
              <w:spacing w:line="360" w:lineRule="auto"/>
              <w:rPr>
                <w:rFonts w:ascii="宋体" w:hAnsi="宋体"/>
              </w:rPr>
            </w:pPr>
            <w:r>
              <w:rPr>
                <w:rFonts w:hint="eastAsia" w:ascii="宋体" w:hAnsi="宋体"/>
              </w:rPr>
              <w:t>工作量完成情况</w:t>
            </w:r>
          </w:p>
        </w:tc>
        <w:tc>
          <w:tcPr>
            <w:tcW w:w="846" w:type="dxa"/>
          </w:tcPr>
          <w:p w14:paraId="5FDE3FF7">
            <w:pPr>
              <w:spacing w:line="360" w:lineRule="auto"/>
              <w:jc w:val="center"/>
              <w:rPr>
                <w:rFonts w:ascii="宋体" w:hAnsi="宋体"/>
              </w:rPr>
            </w:pPr>
            <w:r>
              <w:rPr>
                <w:rFonts w:hint="eastAsia" w:ascii="宋体" w:hAnsi="宋体"/>
              </w:rPr>
              <w:t>【30】</w:t>
            </w:r>
          </w:p>
        </w:tc>
        <w:tc>
          <w:tcPr>
            <w:tcW w:w="1007" w:type="dxa"/>
          </w:tcPr>
          <w:p w14:paraId="3CE0BDFE">
            <w:pPr>
              <w:spacing w:line="360" w:lineRule="auto"/>
              <w:jc w:val="center"/>
              <w:rPr>
                <w:rFonts w:ascii="宋体" w:hAnsi="宋体"/>
              </w:rPr>
            </w:pPr>
            <w:r>
              <w:rPr>
                <w:rFonts w:hint="eastAsia" w:ascii="宋体" w:hAnsi="宋体"/>
              </w:rPr>
              <w:t>/</w:t>
            </w:r>
          </w:p>
        </w:tc>
        <w:tc>
          <w:tcPr>
            <w:tcW w:w="3119" w:type="dxa"/>
            <w:vMerge w:val="restart"/>
          </w:tcPr>
          <w:p w14:paraId="12C1B301">
            <w:pPr>
              <w:spacing w:line="360" w:lineRule="auto"/>
              <w:rPr>
                <w:rFonts w:ascii="宋体" w:hAnsi="宋体"/>
                <w:sz w:val="18"/>
                <w:szCs w:val="18"/>
              </w:rPr>
            </w:pPr>
            <w:r>
              <w:rPr>
                <w:rFonts w:hint="eastAsia" w:ascii="宋体" w:hAnsi="宋体"/>
                <w:sz w:val="18"/>
                <w:szCs w:val="18"/>
              </w:rPr>
              <w:t>1、现场故障处理未能及时处理每发现一次扣3分，三次及以上未完成分全扣。</w:t>
            </w:r>
          </w:p>
          <w:p w14:paraId="2127EC88">
            <w:pPr>
              <w:spacing w:line="360" w:lineRule="auto"/>
              <w:rPr>
                <w:rFonts w:ascii="宋体" w:hAnsi="宋体"/>
              </w:rPr>
            </w:pPr>
            <w:r>
              <w:rPr>
                <w:rFonts w:hint="eastAsia" w:ascii="宋体" w:hAnsi="宋体"/>
                <w:sz w:val="18"/>
                <w:szCs w:val="18"/>
              </w:rPr>
              <w:t>2、每</w:t>
            </w:r>
            <w:r>
              <w:rPr>
                <w:rFonts w:hint="eastAsia" w:ascii="宋体" w:hAnsi="宋体"/>
                <w:sz w:val="18"/>
                <w:szCs w:val="18"/>
                <w:lang w:val="en-US" w:eastAsia="zh-CN"/>
              </w:rPr>
              <w:t>月</w:t>
            </w:r>
            <w:r>
              <w:rPr>
                <w:rFonts w:hint="eastAsia" w:ascii="宋体" w:hAnsi="宋体"/>
                <w:sz w:val="18"/>
                <w:szCs w:val="18"/>
              </w:rPr>
              <w:t>巡检一次，每次巡检完需提供相应的巡检报告并装订成册，未完成扣除相应分值。</w:t>
            </w:r>
          </w:p>
        </w:tc>
      </w:tr>
      <w:tr w14:paraId="7F9B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303D2E14">
            <w:pPr>
              <w:spacing w:line="360" w:lineRule="auto"/>
              <w:jc w:val="right"/>
              <w:rPr>
                <w:rFonts w:ascii="宋体" w:hAnsi="宋体"/>
              </w:rPr>
            </w:pPr>
            <w:r>
              <w:rPr>
                <w:rFonts w:hint="eastAsia" w:ascii="宋体" w:hAnsi="宋体"/>
              </w:rPr>
              <w:t>1.1</w:t>
            </w:r>
          </w:p>
        </w:tc>
        <w:tc>
          <w:tcPr>
            <w:tcW w:w="2542" w:type="dxa"/>
            <w:gridSpan w:val="2"/>
          </w:tcPr>
          <w:p w14:paraId="7202E62D">
            <w:pPr>
              <w:spacing w:line="360" w:lineRule="auto"/>
              <w:rPr>
                <w:rFonts w:ascii="宋体" w:hAnsi="宋体"/>
              </w:rPr>
            </w:pPr>
            <w:r>
              <w:rPr>
                <w:rFonts w:hint="eastAsia" w:ascii="宋体" w:hAnsi="宋体"/>
              </w:rPr>
              <w:t>现场故障处理</w:t>
            </w:r>
          </w:p>
        </w:tc>
        <w:tc>
          <w:tcPr>
            <w:tcW w:w="846" w:type="dxa"/>
          </w:tcPr>
          <w:p w14:paraId="5DE4F962">
            <w:pPr>
              <w:spacing w:line="360" w:lineRule="auto"/>
              <w:jc w:val="center"/>
              <w:rPr>
                <w:rFonts w:ascii="宋体" w:hAnsi="宋体"/>
              </w:rPr>
            </w:pPr>
            <w:r>
              <w:rPr>
                <w:rFonts w:hint="eastAsia" w:ascii="宋体" w:hAnsi="宋体"/>
              </w:rPr>
              <w:t>15</w:t>
            </w:r>
          </w:p>
        </w:tc>
        <w:tc>
          <w:tcPr>
            <w:tcW w:w="1007" w:type="dxa"/>
          </w:tcPr>
          <w:p w14:paraId="5C5EF600">
            <w:pPr>
              <w:spacing w:line="360" w:lineRule="auto"/>
              <w:jc w:val="center"/>
              <w:rPr>
                <w:rFonts w:ascii="宋体" w:hAnsi="宋体"/>
              </w:rPr>
            </w:pPr>
          </w:p>
        </w:tc>
        <w:tc>
          <w:tcPr>
            <w:tcW w:w="3119" w:type="dxa"/>
            <w:vMerge w:val="continue"/>
          </w:tcPr>
          <w:p w14:paraId="37D3579B">
            <w:pPr>
              <w:spacing w:line="360" w:lineRule="auto"/>
              <w:rPr>
                <w:rFonts w:ascii="宋体" w:hAnsi="宋体"/>
              </w:rPr>
            </w:pPr>
          </w:p>
        </w:tc>
      </w:tr>
      <w:tr w14:paraId="16B3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23484BD1">
            <w:pPr>
              <w:spacing w:line="360" w:lineRule="auto"/>
              <w:jc w:val="right"/>
              <w:rPr>
                <w:rFonts w:ascii="宋体" w:hAnsi="宋体"/>
              </w:rPr>
            </w:pPr>
            <w:r>
              <w:rPr>
                <w:rFonts w:hint="eastAsia" w:ascii="宋体" w:hAnsi="宋体"/>
              </w:rPr>
              <w:t>1.2</w:t>
            </w:r>
          </w:p>
        </w:tc>
        <w:tc>
          <w:tcPr>
            <w:tcW w:w="2542" w:type="dxa"/>
            <w:gridSpan w:val="2"/>
          </w:tcPr>
          <w:p w14:paraId="422F0D00">
            <w:pPr>
              <w:spacing w:line="360" w:lineRule="auto"/>
              <w:rPr>
                <w:rFonts w:ascii="宋体" w:hAnsi="宋体"/>
              </w:rPr>
            </w:pPr>
            <w:r>
              <w:rPr>
                <w:rFonts w:hint="eastAsia" w:ascii="宋体" w:hAnsi="宋体"/>
              </w:rPr>
              <w:t>巡检-服务器及相关系统</w:t>
            </w:r>
          </w:p>
        </w:tc>
        <w:tc>
          <w:tcPr>
            <w:tcW w:w="846" w:type="dxa"/>
          </w:tcPr>
          <w:p w14:paraId="25BEEC54">
            <w:pPr>
              <w:spacing w:line="360" w:lineRule="auto"/>
              <w:jc w:val="center"/>
              <w:rPr>
                <w:rFonts w:hint="default" w:ascii="宋体" w:hAnsi="宋体" w:eastAsia="宋体"/>
                <w:lang w:val="en-US" w:eastAsia="zh-CN"/>
              </w:rPr>
            </w:pPr>
            <w:r>
              <w:rPr>
                <w:rFonts w:hint="eastAsia" w:ascii="宋体" w:hAnsi="宋体"/>
                <w:lang w:val="en-US" w:eastAsia="zh-CN"/>
              </w:rPr>
              <w:t>15</w:t>
            </w:r>
          </w:p>
        </w:tc>
        <w:tc>
          <w:tcPr>
            <w:tcW w:w="1007" w:type="dxa"/>
          </w:tcPr>
          <w:p w14:paraId="00687A38">
            <w:pPr>
              <w:spacing w:line="360" w:lineRule="auto"/>
              <w:jc w:val="center"/>
              <w:rPr>
                <w:rFonts w:ascii="宋体" w:hAnsi="宋体"/>
              </w:rPr>
            </w:pPr>
          </w:p>
        </w:tc>
        <w:tc>
          <w:tcPr>
            <w:tcW w:w="3119" w:type="dxa"/>
            <w:vMerge w:val="continue"/>
          </w:tcPr>
          <w:p w14:paraId="1C9B8508">
            <w:pPr>
              <w:spacing w:line="360" w:lineRule="auto"/>
              <w:rPr>
                <w:rFonts w:ascii="宋体" w:hAnsi="宋体"/>
              </w:rPr>
            </w:pPr>
          </w:p>
        </w:tc>
      </w:tr>
      <w:tr w14:paraId="00BC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3AF006CB">
            <w:pPr>
              <w:spacing w:line="360" w:lineRule="auto"/>
              <w:rPr>
                <w:rFonts w:ascii="宋体" w:hAnsi="宋体"/>
              </w:rPr>
            </w:pPr>
            <w:r>
              <w:rPr>
                <w:rFonts w:hint="eastAsia" w:ascii="宋体" w:hAnsi="宋体"/>
              </w:rPr>
              <w:t>2</w:t>
            </w:r>
          </w:p>
        </w:tc>
        <w:tc>
          <w:tcPr>
            <w:tcW w:w="2542" w:type="dxa"/>
            <w:gridSpan w:val="2"/>
          </w:tcPr>
          <w:p w14:paraId="27DEE1F3">
            <w:pPr>
              <w:spacing w:line="360" w:lineRule="auto"/>
              <w:rPr>
                <w:rFonts w:ascii="宋体" w:hAnsi="宋体"/>
              </w:rPr>
            </w:pPr>
            <w:r>
              <w:rPr>
                <w:rFonts w:hint="eastAsia" w:ascii="宋体" w:hAnsi="宋体"/>
              </w:rPr>
              <w:t>工作及时性</w:t>
            </w:r>
          </w:p>
        </w:tc>
        <w:tc>
          <w:tcPr>
            <w:tcW w:w="846" w:type="dxa"/>
          </w:tcPr>
          <w:p w14:paraId="1802FC24">
            <w:pPr>
              <w:spacing w:line="360" w:lineRule="auto"/>
              <w:jc w:val="center"/>
              <w:rPr>
                <w:rFonts w:ascii="宋体" w:hAnsi="宋体"/>
              </w:rPr>
            </w:pPr>
            <w:r>
              <w:rPr>
                <w:rFonts w:hint="eastAsia" w:ascii="宋体" w:hAnsi="宋体"/>
              </w:rPr>
              <w:t>【40】</w:t>
            </w:r>
          </w:p>
        </w:tc>
        <w:tc>
          <w:tcPr>
            <w:tcW w:w="1007" w:type="dxa"/>
          </w:tcPr>
          <w:p w14:paraId="2B7EC186">
            <w:pPr>
              <w:spacing w:line="360" w:lineRule="auto"/>
              <w:jc w:val="center"/>
              <w:rPr>
                <w:rFonts w:ascii="宋体" w:hAnsi="宋体"/>
              </w:rPr>
            </w:pPr>
            <w:r>
              <w:rPr>
                <w:rFonts w:hint="eastAsia" w:ascii="宋体" w:hAnsi="宋体"/>
              </w:rPr>
              <w:t>/</w:t>
            </w:r>
          </w:p>
        </w:tc>
        <w:tc>
          <w:tcPr>
            <w:tcW w:w="3119" w:type="dxa"/>
            <w:vMerge w:val="restart"/>
          </w:tcPr>
          <w:p w14:paraId="5AADFE65">
            <w:pPr>
              <w:spacing w:line="360" w:lineRule="auto"/>
              <w:rPr>
                <w:rFonts w:ascii="宋体" w:hAnsi="宋体"/>
              </w:rPr>
            </w:pPr>
            <w:r>
              <w:rPr>
                <w:rFonts w:hint="eastAsia" w:ascii="宋体" w:hAnsi="宋体"/>
                <w:sz w:val="18"/>
                <w:szCs w:val="18"/>
              </w:rPr>
              <w:t>以双方约定的时限为准，应对未达成约定时限的部分进行扣分</w:t>
            </w:r>
          </w:p>
        </w:tc>
      </w:tr>
      <w:tr w14:paraId="1D89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5C04A983">
            <w:pPr>
              <w:spacing w:line="360" w:lineRule="auto"/>
              <w:jc w:val="right"/>
              <w:rPr>
                <w:rFonts w:ascii="宋体" w:hAnsi="宋体"/>
              </w:rPr>
            </w:pPr>
            <w:r>
              <w:rPr>
                <w:rFonts w:hint="eastAsia" w:ascii="宋体" w:hAnsi="宋体"/>
              </w:rPr>
              <w:t>2.1</w:t>
            </w:r>
          </w:p>
        </w:tc>
        <w:tc>
          <w:tcPr>
            <w:tcW w:w="2542" w:type="dxa"/>
            <w:gridSpan w:val="2"/>
          </w:tcPr>
          <w:p w14:paraId="52E84E0C">
            <w:pPr>
              <w:spacing w:line="360" w:lineRule="auto"/>
              <w:rPr>
                <w:rFonts w:ascii="宋体" w:hAnsi="宋体"/>
              </w:rPr>
            </w:pPr>
            <w:r>
              <w:rPr>
                <w:rFonts w:hint="eastAsia" w:ascii="宋体" w:hAnsi="宋体"/>
              </w:rPr>
              <w:t>故障处理到达时间</w:t>
            </w:r>
          </w:p>
        </w:tc>
        <w:tc>
          <w:tcPr>
            <w:tcW w:w="846" w:type="dxa"/>
          </w:tcPr>
          <w:p w14:paraId="30EA0DA2">
            <w:pPr>
              <w:spacing w:line="360" w:lineRule="auto"/>
              <w:jc w:val="center"/>
              <w:rPr>
                <w:rFonts w:ascii="宋体" w:hAnsi="宋体"/>
              </w:rPr>
            </w:pPr>
            <w:r>
              <w:rPr>
                <w:rFonts w:hint="eastAsia" w:ascii="宋体" w:hAnsi="宋体"/>
              </w:rPr>
              <w:t>15</w:t>
            </w:r>
          </w:p>
        </w:tc>
        <w:tc>
          <w:tcPr>
            <w:tcW w:w="1007" w:type="dxa"/>
          </w:tcPr>
          <w:p w14:paraId="40CE907A">
            <w:pPr>
              <w:spacing w:line="360" w:lineRule="auto"/>
              <w:jc w:val="center"/>
              <w:rPr>
                <w:rFonts w:ascii="宋体" w:hAnsi="宋体"/>
              </w:rPr>
            </w:pPr>
          </w:p>
        </w:tc>
        <w:tc>
          <w:tcPr>
            <w:tcW w:w="3119" w:type="dxa"/>
            <w:vMerge w:val="continue"/>
          </w:tcPr>
          <w:p w14:paraId="7A5624CF">
            <w:pPr>
              <w:spacing w:line="360" w:lineRule="auto"/>
              <w:rPr>
                <w:rFonts w:ascii="宋体" w:hAnsi="宋体"/>
              </w:rPr>
            </w:pPr>
          </w:p>
        </w:tc>
      </w:tr>
      <w:tr w14:paraId="2B5D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66C4BBB">
            <w:pPr>
              <w:spacing w:line="360" w:lineRule="auto"/>
              <w:jc w:val="right"/>
              <w:rPr>
                <w:rFonts w:ascii="宋体" w:hAnsi="宋体"/>
              </w:rPr>
            </w:pPr>
            <w:r>
              <w:rPr>
                <w:rFonts w:hint="eastAsia" w:ascii="宋体" w:hAnsi="宋体"/>
              </w:rPr>
              <w:t>2.2</w:t>
            </w:r>
          </w:p>
        </w:tc>
        <w:tc>
          <w:tcPr>
            <w:tcW w:w="2542" w:type="dxa"/>
            <w:gridSpan w:val="2"/>
          </w:tcPr>
          <w:p w14:paraId="16E9151C">
            <w:pPr>
              <w:spacing w:line="360" w:lineRule="auto"/>
              <w:rPr>
                <w:rFonts w:ascii="宋体" w:hAnsi="宋体"/>
              </w:rPr>
            </w:pPr>
            <w:r>
              <w:rPr>
                <w:rFonts w:hint="eastAsia" w:ascii="宋体" w:hAnsi="宋体"/>
              </w:rPr>
              <w:t>故障处理完成时间</w:t>
            </w:r>
          </w:p>
        </w:tc>
        <w:tc>
          <w:tcPr>
            <w:tcW w:w="846" w:type="dxa"/>
          </w:tcPr>
          <w:p w14:paraId="40DA6BB7">
            <w:pPr>
              <w:spacing w:line="360" w:lineRule="auto"/>
              <w:jc w:val="center"/>
              <w:rPr>
                <w:rFonts w:ascii="宋体" w:hAnsi="宋体"/>
              </w:rPr>
            </w:pPr>
            <w:r>
              <w:rPr>
                <w:rFonts w:hint="eastAsia" w:ascii="宋体" w:hAnsi="宋体"/>
              </w:rPr>
              <w:t>15</w:t>
            </w:r>
          </w:p>
        </w:tc>
        <w:tc>
          <w:tcPr>
            <w:tcW w:w="1007" w:type="dxa"/>
          </w:tcPr>
          <w:p w14:paraId="78B45E86">
            <w:pPr>
              <w:spacing w:line="360" w:lineRule="auto"/>
              <w:jc w:val="center"/>
              <w:rPr>
                <w:rFonts w:ascii="宋体" w:hAnsi="宋体"/>
              </w:rPr>
            </w:pPr>
          </w:p>
        </w:tc>
        <w:tc>
          <w:tcPr>
            <w:tcW w:w="3119" w:type="dxa"/>
            <w:vMerge w:val="continue"/>
          </w:tcPr>
          <w:p w14:paraId="361E0FE7">
            <w:pPr>
              <w:spacing w:line="360" w:lineRule="auto"/>
              <w:rPr>
                <w:rFonts w:ascii="宋体" w:hAnsi="宋体"/>
              </w:rPr>
            </w:pPr>
          </w:p>
        </w:tc>
      </w:tr>
      <w:tr w14:paraId="2B59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7D508FDE">
            <w:pPr>
              <w:tabs>
                <w:tab w:val="left" w:pos="265"/>
              </w:tabs>
              <w:spacing w:line="360" w:lineRule="auto"/>
              <w:ind w:firstLine="210" w:firstLineChars="100"/>
              <w:jc w:val="left"/>
              <w:rPr>
                <w:rFonts w:ascii="宋体" w:hAnsi="宋体"/>
              </w:rPr>
            </w:pPr>
            <w:r>
              <w:rPr>
                <w:rFonts w:hint="eastAsia" w:ascii="宋体" w:hAnsi="宋体"/>
              </w:rPr>
              <w:t>2.3</w:t>
            </w:r>
          </w:p>
        </w:tc>
        <w:tc>
          <w:tcPr>
            <w:tcW w:w="2542" w:type="dxa"/>
            <w:gridSpan w:val="2"/>
          </w:tcPr>
          <w:p w14:paraId="2B997083">
            <w:pPr>
              <w:spacing w:line="360" w:lineRule="auto"/>
              <w:rPr>
                <w:rFonts w:ascii="宋体" w:hAnsi="宋体"/>
              </w:rPr>
            </w:pPr>
            <w:r>
              <w:rPr>
                <w:rFonts w:hint="eastAsia" w:ascii="宋体" w:hAnsi="宋体"/>
              </w:rPr>
              <w:t>同样故障不再重复出现</w:t>
            </w:r>
          </w:p>
        </w:tc>
        <w:tc>
          <w:tcPr>
            <w:tcW w:w="846" w:type="dxa"/>
          </w:tcPr>
          <w:p w14:paraId="101F99C4">
            <w:pPr>
              <w:spacing w:line="360" w:lineRule="auto"/>
              <w:jc w:val="center"/>
              <w:rPr>
                <w:rFonts w:ascii="宋体" w:hAnsi="宋体"/>
              </w:rPr>
            </w:pPr>
            <w:r>
              <w:rPr>
                <w:rFonts w:hint="eastAsia" w:ascii="宋体" w:hAnsi="宋体"/>
              </w:rPr>
              <w:t>10</w:t>
            </w:r>
          </w:p>
        </w:tc>
        <w:tc>
          <w:tcPr>
            <w:tcW w:w="1007" w:type="dxa"/>
          </w:tcPr>
          <w:p w14:paraId="0FA9C07D">
            <w:pPr>
              <w:spacing w:line="360" w:lineRule="auto"/>
              <w:jc w:val="center"/>
              <w:rPr>
                <w:rFonts w:ascii="宋体" w:hAnsi="宋体"/>
              </w:rPr>
            </w:pPr>
          </w:p>
        </w:tc>
        <w:tc>
          <w:tcPr>
            <w:tcW w:w="3119" w:type="dxa"/>
            <w:vMerge w:val="continue"/>
          </w:tcPr>
          <w:p w14:paraId="7FF8EC1B">
            <w:pPr>
              <w:spacing w:line="360" w:lineRule="auto"/>
              <w:rPr>
                <w:rFonts w:ascii="宋体" w:hAnsi="宋体"/>
              </w:rPr>
            </w:pPr>
          </w:p>
        </w:tc>
      </w:tr>
      <w:tr w14:paraId="08B9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5D0576AA">
            <w:pPr>
              <w:spacing w:line="360" w:lineRule="auto"/>
              <w:rPr>
                <w:rFonts w:ascii="宋体" w:hAnsi="宋体"/>
              </w:rPr>
            </w:pPr>
            <w:r>
              <w:rPr>
                <w:rFonts w:hint="eastAsia" w:ascii="宋体" w:hAnsi="宋体"/>
              </w:rPr>
              <w:t>3</w:t>
            </w:r>
          </w:p>
        </w:tc>
        <w:tc>
          <w:tcPr>
            <w:tcW w:w="2542" w:type="dxa"/>
            <w:gridSpan w:val="2"/>
          </w:tcPr>
          <w:p w14:paraId="155D53F7">
            <w:pPr>
              <w:spacing w:line="360" w:lineRule="auto"/>
              <w:rPr>
                <w:rFonts w:ascii="宋体" w:hAnsi="宋体"/>
              </w:rPr>
            </w:pPr>
            <w:r>
              <w:rPr>
                <w:rFonts w:hint="eastAsia" w:ascii="宋体" w:hAnsi="宋体"/>
              </w:rPr>
              <w:t>工作完成效果</w:t>
            </w:r>
          </w:p>
        </w:tc>
        <w:tc>
          <w:tcPr>
            <w:tcW w:w="846" w:type="dxa"/>
          </w:tcPr>
          <w:p w14:paraId="474FCFEB">
            <w:pPr>
              <w:spacing w:line="360" w:lineRule="auto"/>
              <w:jc w:val="center"/>
              <w:rPr>
                <w:rFonts w:ascii="宋体" w:hAnsi="宋体"/>
              </w:rPr>
            </w:pPr>
            <w:r>
              <w:rPr>
                <w:rFonts w:hint="eastAsia" w:ascii="宋体" w:hAnsi="宋体"/>
              </w:rPr>
              <w:t>【15】</w:t>
            </w:r>
          </w:p>
        </w:tc>
        <w:tc>
          <w:tcPr>
            <w:tcW w:w="1007" w:type="dxa"/>
          </w:tcPr>
          <w:p w14:paraId="26FF8EB4">
            <w:pPr>
              <w:spacing w:line="360" w:lineRule="auto"/>
              <w:jc w:val="center"/>
              <w:rPr>
                <w:rFonts w:ascii="宋体" w:hAnsi="宋体"/>
              </w:rPr>
            </w:pPr>
            <w:r>
              <w:rPr>
                <w:rFonts w:hint="eastAsia" w:ascii="宋体" w:hAnsi="宋体"/>
              </w:rPr>
              <w:t>/</w:t>
            </w:r>
          </w:p>
        </w:tc>
        <w:tc>
          <w:tcPr>
            <w:tcW w:w="3119" w:type="dxa"/>
            <w:vMerge w:val="restart"/>
          </w:tcPr>
          <w:p w14:paraId="00A8F65E">
            <w:pPr>
              <w:spacing w:line="360" w:lineRule="auto"/>
              <w:rPr>
                <w:rFonts w:ascii="宋体" w:hAnsi="宋体"/>
              </w:rPr>
            </w:pPr>
            <w:r>
              <w:rPr>
                <w:rFonts w:hint="eastAsia" w:ascii="宋体" w:hAnsi="宋体"/>
                <w:sz w:val="18"/>
                <w:szCs w:val="18"/>
              </w:rPr>
              <w:t>结合合同预定与主管评价，对维保服务的服务质量进行评定</w:t>
            </w:r>
          </w:p>
        </w:tc>
      </w:tr>
      <w:tr w14:paraId="38BD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A458192">
            <w:pPr>
              <w:spacing w:line="360" w:lineRule="auto"/>
              <w:jc w:val="right"/>
              <w:rPr>
                <w:rFonts w:ascii="宋体" w:hAnsi="宋体"/>
              </w:rPr>
            </w:pPr>
            <w:r>
              <w:rPr>
                <w:rFonts w:hint="eastAsia" w:ascii="宋体" w:hAnsi="宋体"/>
              </w:rPr>
              <w:t>3.1</w:t>
            </w:r>
          </w:p>
        </w:tc>
        <w:tc>
          <w:tcPr>
            <w:tcW w:w="2542" w:type="dxa"/>
            <w:gridSpan w:val="2"/>
          </w:tcPr>
          <w:p w14:paraId="0B398C2D">
            <w:pPr>
              <w:spacing w:line="360" w:lineRule="auto"/>
              <w:rPr>
                <w:rFonts w:ascii="宋体" w:hAnsi="宋体"/>
              </w:rPr>
            </w:pPr>
            <w:r>
              <w:rPr>
                <w:rFonts w:hint="eastAsia" w:ascii="宋体" w:hAnsi="宋体"/>
              </w:rPr>
              <w:t>故障处理</w:t>
            </w:r>
          </w:p>
        </w:tc>
        <w:tc>
          <w:tcPr>
            <w:tcW w:w="846" w:type="dxa"/>
          </w:tcPr>
          <w:p w14:paraId="6C7EB109">
            <w:pPr>
              <w:spacing w:line="360" w:lineRule="auto"/>
              <w:jc w:val="center"/>
              <w:rPr>
                <w:rFonts w:ascii="宋体" w:hAnsi="宋体"/>
              </w:rPr>
            </w:pPr>
            <w:r>
              <w:rPr>
                <w:rFonts w:hint="eastAsia" w:ascii="宋体" w:hAnsi="宋体"/>
              </w:rPr>
              <w:t>5</w:t>
            </w:r>
          </w:p>
        </w:tc>
        <w:tc>
          <w:tcPr>
            <w:tcW w:w="1007" w:type="dxa"/>
          </w:tcPr>
          <w:p w14:paraId="4840A305">
            <w:pPr>
              <w:spacing w:line="360" w:lineRule="auto"/>
              <w:jc w:val="center"/>
              <w:rPr>
                <w:rFonts w:ascii="宋体" w:hAnsi="宋体"/>
              </w:rPr>
            </w:pPr>
          </w:p>
        </w:tc>
        <w:tc>
          <w:tcPr>
            <w:tcW w:w="3119" w:type="dxa"/>
            <w:vMerge w:val="continue"/>
          </w:tcPr>
          <w:p w14:paraId="253C400D">
            <w:pPr>
              <w:spacing w:line="360" w:lineRule="auto"/>
              <w:rPr>
                <w:rFonts w:ascii="宋体" w:hAnsi="宋体"/>
              </w:rPr>
            </w:pPr>
          </w:p>
        </w:tc>
      </w:tr>
      <w:tr w14:paraId="6213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217FD01D">
            <w:pPr>
              <w:spacing w:line="360" w:lineRule="auto"/>
              <w:jc w:val="right"/>
              <w:rPr>
                <w:rFonts w:ascii="宋体" w:hAnsi="宋体"/>
              </w:rPr>
            </w:pPr>
            <w:r>
              <w:rPr>
                <w:rFonts w:hint="eastAsia" w:ascii="宋体" w:hAnsi="宋体"/>
              </w:rPr>
              <w:t>3.2</w:t>
            </w:r>
          </w:p>
        </w:tc>
        <w:tc>
          <w:tcPr>
            <w:tcW w:w="2542" w:type="dxa"/>
            <w:gridSpan w:val="2"/>
          </w:tcPr>
          <w:p w14:paraId="5F684147">
            <w:pPr>
              <w:spacing w:line="360" w:lineRule="auto"/>
              <w:rPr>
                <w:rFonts w:ascii="宋体" w:hAnsi="宋体"/>
              </w:rPr>
            </w:pPr>
            <w:r>
              <w:rPr>
                <w:rFonts w:hint="eastAsia" w:ascii="宋体" w:hAnsi="宋体"/>
              </w:rPr>
              <w:t>巡检</w:t>
            </w:r>
          </w:p>
        </w:tc>
        <w:tc>
          <w:tcPr>
            <w:tcW w:w="846" w:type="dxa"/>
          </w:tcPr>
          <w:p w14:paraId="304BD82B">
            <w:pPr>
              <w:spacing w:line="360" w:lineRule="auto"/>
              <w:jc w:val="center"/>
              <w:rPr>
                <w:rFonts w:ascii="宋体" w:hAnsi="宋体"/>
              </w:rPr>
            </w:pPr>
            <w:r>
              <w:rPr>
                <w:rFonts w:hint="eastAsia" w:ascii="宋体" w:hAnsi="宋体"/>
              </w:rPr>
              <w:t>5</w:t>
            </w:r>
          </w:p>
        </w:tc>
        <w:tc>
          <w:tcPr>
            <w:tcW w:w="1007" w:type="dxa"/>
          </w:tcPr>
          <w:p w14:paraId="00E3C2AF">
            <w:pPr>
              <w:spacing w:line="360" w:lineRule="auto"/>
              <w:jc w:val="center"/>
              <w:rPr>
                <w:rFonts w:ascii="宋体" w:hAnsi="宋体"/>
              </w:rPr>
            </w:pPr>
          </w:p>
        </w:tc>
        <w:tc>
          <w:tcPr>
            <w:tcW w:w="3119" w:type="dxa"/>
            <w:vMerge w:val="continue"/>
          </w:tcPr>
          <w:p w14:paraId="457CF810">
            <w:pPr>
              <w:spacing w:line="360" w:lineRule="auto"/>
              <w:rPr>
                <w:rFonts w:ascii="宋体" w:hAnsi="宋体"/>
              </w:rPr>
            </w:pPr>
          </w:p>
        </w:tc>
      </w:tr>
      <w:tr w14:paraId="625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60A1540A">
            <w:pPr>
              <w:spacing w:line="360" w:lineRule="auto"/>
              <w:jc w:val="right"/>
              <w:rPr>
                <w:rFonts w:ascii="宋体" w:hAnsi="宋体"/>
              </w:rPr>
            </w:pPr>
            <w:r>
              <w:rPr>
                <w:rFonts w:hint="eastAsia" w:ascii="宋体" w:hAnsi="宋体"/>
              </w:rPr>
              <w:t>3.3</w:t>
            </w:r>
          </w:p>
        </w:tc>
        <w:tc>
          <w:tcPr>
            <w:tcW w:w="2542" w:type="dxa"/>
            <w:gridSpan w:val="2"/>
          </w:tcPr>
          <w:p w14:paraId="4CB51ED7">
            <w:pPr>
              <w:spacing w:line="360" w:lineRule="auto"/>
              <w:rPr>
                <w:rFonts w:ascii="宋体" w:hAnsi="宋体"/>
              </w:rPr>
            </w:pPr>
            <w:r>
              <w:rPr>
                <w:rFonts w:hint="eastAsia" w:ascii="宋体" w:hAnsi="宋体"/>
              </w:rPr>
              <w:t>远程技术支持及其他</w:t>
            </w:r>
          </w:p>
        </w:tc>
        <w:tc>
          <w:tcPr>
            <w:tcW w:w="846" w:type="dxa"/>
          </w:tcPr>
          <w:p w14:paraId="50651D52">
            <w:pPr>
              <w:spacing w:line="360" w:lineRule="auto"/>
              <w:jc w:val="center"/>
              <w:rPr>
                <w:rFonts w:ascii="宋体" w:hAnsi="宋体"/>
              </w:rPr>
            </w:pPr>
            <w:r>
              <w:rPr>
                <w:rFonts w:hint="eastAsia" w:ascii="宋体" w:hAnsi="宋体"/>
              </w:rPr>
              <w:t>5</w:t>
            </w:r>
          </w:p>
        </w:tc>
        <w:tc>
          <w:tcPr>
            <w:tcW w:w="1007" w:type="dxa"/>
          </w:tcPr>
          <w:p w14:paraId="635C8E21">
            <w:pPr>
              <w:spacing w:line="360" w:lineRule="auto"/>
              <w:jc w:val="center"/>
              <w:rPr>
                <w:rFonts w:ascii="宋体" w:hAnsi="宋体"/>
              </w:rPr>
            </w:pPr>
          </w:p>
        </w:tc>
        <w:tc>
          <w:tcPr>
            <w:tcW w:w="3119" w:type="dxa"/>
            <w:vMerge w:val="continue"/>
          </w:tcPr>
          <w:p w14:paraId="18AB4510">
            <w:pPr>
              <w:spacing w:line="360" w:lineRule="auto"/>
              <w:rPr>
                <w:rFonts w:ascii="宋体" w:hAnsi="宋体"/>
              </w:rPr>
            </w:pPr>
          </w:p>
        </w:tc>
      </w:tr>
      <w:tr w14:paraId="1DA1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1F3999FC">
            <w:pPr>
              <w:spacing w:line="360" w:lineRule="auto"/>
              <w:rPr>
                <w:rFonts w:ascii="宋体" w:hAnsi="宋体"/>
              </w:rPr>
            </w:pPr>
            <w:r>
              <w:rPr>
                <w:rFonts w:hint="eastAsia" w:ascii="宋体" w:hAnsi="宋体"/>
              </w:rPr>
              <w:t>4</w:t>
            </w:r>
          </w:p>
        </w:tc>
        <w:tc>
          <w:tcPr>
            <w:tcW w:w="2542" w:type="dxa"/>
            <w:gridSpan w:val="2"/>
          </w:tcPr>
          <w:p w14:paraId="7863535F">
            <w:pPr>
              <w:spacing w:line="360" w:lineRule="auto"/>
              <w:rPr>
                <w:rFonts w:ascii="宋体" w:hAnsi="宋体"/>
              </w:rPr>
            </w:pPr>
            <w:r>
              <w:rPr>
                <w:rFonts w:hint="eastAsia" w:ascii="宋体" w:hAnsi="宋体"/>
              </w:rPr>
              <w:t>需求响应时间</w:t>
            </w:r>
          </w:p>
        </w:tc>
        <w:tc>
          <w:tcPr>
            <w:tcW w:w="846" w:type="dxa"/>
          </w:tcPr>
          <w:p w14:paraId="5D7E9FB3">
            <w:pPr>
              <w:spacing w:line="360" w:lineRule="auto"/>
              <w:jc w:val="center"/>
              <w:rPr>
                <w:rFonts w:ascii="宋体" w:hAnsi="宋体"/>
              </w:rPr>
            </w:pPr>
            <w:r>
              <w:rPr>
                <w:rFonts w:hint="eastAsia" w:ascii="宋体" w:hAnsi="宋体"/>
              </w:rPr>
              <w:t>【1</w:t>
            </w:r>
            <w:r>
              <w:rPr>
                <w:rFonts w:ascii="宋体" w:hAnsi="宋体"/>
              </w:rPr>
              <w:t>0</w:t>
            </w:r>
            <w:r>
              <w:rPr>
                <w:rFonts w:hint="eastAsia" w:ascii="宋体" w:hAnsi="宋体"/>
              </w:rPr>
              <w:t>】</w:t>
            </w:r>
          </w:p>
        </w:tc>
        <w:tc>
          <w:tcPr>
            <w:tcW w:w="1007" w:type="dxa"/>
          </w:tcPr>
          <w:p w14:paraId="49471D4B">
            <w:pPr>
              <w:spacing w:line="360" w:lineRule="auto"/>
              <w:jc w:val="center"/>
              <w:rPr>
                <w:rFonts w:ascii="宋体" w:hAnsi="宋体"/>
              </w:rPr>
            </w:pPr>
          </w:p>
        </w:tc>
        <w:tc>
          <w:tcPr>
            <w:tcW w:w="3119" w:type="dxa"/>
            <w:vMerge w:val="restart"/>
          </w:tcPr>
          <w:p w14:paraId="2F3328CD">
            <w:pPr>
              <w:spacing w:line="360" w:lineRule="auto"/>
              <w:rPr>
                <w:rFonts w:ascii="宋体" w:hAnsi="宋体"/>
                <w:sz w:val="18"/>
                <w:szCs w:val="18"/>
              </w:rPr>
            </w:pPr>
            <w:r>
              <w:rPr>
                <w:rFonts w:hint="eastAsia" w:ascii="宋体" w:hAnsi="宋体"/>
                <w:sz w:val="18"/>
                <w:szCs w:val="18"/>
              </w:rPr>
              <w:t>根据实际业务需求及合同约定，需求完成时间达标率不低于95%，应急处理效率与能力评估：发生一次应急处理不及时或应急处理措施不当影响医院正常就诊秩序情况扣1分</w:t>
            </w:r>
          </w:p>
        </w:tc>
      </w:tr>
      <w:tr w14:paraId="26AF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25CB63BA">
            <w:pPr>
              <w:spacing w:line="360" w:lineRule="auto"/>
              <w:rPr>
                <w:rFonts w:ascii="宋体" w:hAnsi="宋体"/>
              </w:rPr>
            </w:pPr>
            <w:r>
              <w:rPr>
                <w:rFonts w:ascii="宋体" w:hAnsi="宋体"/>
              </w:rPr>
              <w:t>4.1</w:t>
            </w:r>
          </w:p>
        </w:tc>
        <w:tc>
          <w:tcPr>
            <w:tcW w:w="2542" w:type="dxa"/>
            <w:gridSpan w:val="2"/>
          </w:tcPr>
          <w:p w14:paraId="5658EE89">
            <w:pPr>
              <w:spacing w:line="360" w:lineRule="auto"/>
              <w:rPr>
                <w:rFonts w:ascii="宋体" w:hAnsi="宋体"/>
              </w:rPr>
            </w:pPr>
            <w:r>
              <w:rPr>
                <w:rFonts w:hint="eastAsia" w:ascii="宋体" w:hAnsi="宋体"/>
              </w:rPr>
              <w:t>需求完成时间达标率</w:t>
            </w:r>
          </w:p>
        </w:tc>
        <w:tc>
          <w:tcPr>
            <w:tcW w:w="846" w:type="dxa"/>
          </w:tcPr>
          <w:p w14:paraId="1A97D08B">
            <w:pPr>
              <w:spacing w:line="360" w:lineRule="auto"/>
              <w:jc w:val="center"/>
              <w:rPr>
                <w:rFonts w:ascii="宋体" w:hAnsi="宋体"/>
              </w:rPr>
            </w:pPr>
            <w:r>
              <w:rPr>
                <w:rFonts w:hint="eastAsia" w:ascii="宋体" w:hAnsi="宋体"/>
              </w:rPr>
              <w:t>5</w:t>
            </w:r>
          </w:p>
        </w:tc>
        <w:tc>
          <w:tcPr>
            <w:tcW w:w="1007" w:type="dxa"/>
          </w:tcPr>
          <w:p w14:paraId="6F4DD621">
            <w:pPr>
              <w:spacing w:line="360" w:lineRule="auto"/>
              <w:jc w:val="center"/>
              <w:rPr>
                <w:rFonts w:ascii="宋体" w:hAnsi="宋体"/>
              </w:rPr>
            </w:pPr>
          </w:p>
        </w:tc>
        <w:tc>
          <w:tcPr>
            <w:tcW w:w="3119" w:type="dxa"/>
            <w:vMerge w:val="continue"/>
          </w:tcPr>
          <w:p w14:paraId="481F5D25">
            <w:pPr>
              <w:spacing w:line="360" w:lineRule="auto"/>
              <w:rPr>
                <w:rFonts w:ascii="宋体" w:hAnsi="宋体"/>
                <w:sz w:val="18"/>
                <w:szCs w:val="18"/>
              </w:rPr>
            </w:pPr>
          </w:p>
        </w:tc>
      </w:tr>
      <w:tr w14:paraId="0829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6FC6FC7">
            <w:pPr>
              <w:spacing w:line="360" w:lineRule="auto"/>
              <w:rPr>
                <w:rFonts w:ascii="宋体" w:hAnsi="宋体"/>
              </w:rPr>
            </w:pPr>
            <w:r>
              <w:rPr>
                <w:rFonts w:hint="eastAsia" w:ascii="宋体" w:hAnsi="宋体"/>
              </w:rPr>
              <w:t>4</w:t>
            </w:r>
            <w:r>
              <w:rPr>
                <w:rFonts w:ascii="宋体" w:hAnsi="宋体"/>
              </w:rPr>
              <w:t>.2</w:t>
            </w:r>
          </w:p>
        </w:tc>
        <w:tc>
          <w:tcPr>
            <w:tcW w:w="2542" w:type="dxa"/>
            <w:gridSpan w:val="2"/>
          </w:tcPr>
          <w:p w14:paraId="6436F12B">
            <w:pPr>
              <w:spacing w:line="360" w:lineRule="auto"/>
              <w:rPr>
                <w:rFonts w:ascii="宋体" w:hAnsi="宋体"/>
              </w:rPr>
            </w:pPr>
            <w:r>
              <w:rPr>
                <w:rFonts w:hint="eastAsia" w:ascii="宋体" w:hAnsi="宋体"/>
              </w:rPr>
              <w:t>应急处理效率与能力评估</w:t>
            </w:r>
          </w:p>
        </w:tc>
        <w:tc>
          <w:tcPr>
            <w:tcW w:w="846" w:type="dxa"/>
          </w:tcPr>
          <w:p w14:paraId="401D1914">
            <w:pPr>
              <w:spacing w:line="360" w:lineRule="auto"/>
              <w:jc w:val="center"/>
              <w:rPr>
                <w:rFonts w:ascii="宋体" w:hAnsi="宋体"/>
              </w:rPr>
            </w:pPr>
            <w:r>
              <w:rPr>
                <w:rFonts w:hint="eastAsia" w:ascii="宋体" w:hAnsi="宋体"/>
              </w:rPr>
              <w:t>5</w:t>
            </w:r>
          </w:p>
        </w:tc>
        <w:tc>
          <w:tcPr>
            <w:tcW w:w="1007" w:type="dxa"/>
          </w:tcPr>
          <w:p w14:paraId="75AA4A10">
            <w:pPr>
              <w:spacing w:line="360" w:lineRule="auto"/>
              <w:jc w:val="center"/>
              <w:rPr>
                <w:rFonts w:ascii="宋体" w:hAnsi="宋体"/>
              </w:rPr>
            </w:pPr>
          </w:p>
        </w:tc>
        <w:tc>
          <w:tcPr>
            <w:tcW w:w="3119" w:type="dxa"/>
            <w:vMerge w:val="continue"/>
          </w:tcPr>
          <w:p w14:paraId="256B4E51">
            <w:pPr>
              <w:spacing w:line="360" w:lineRule="auto"/>
              <w:rPr>
                <w:rFonts w:ascii="宋体" w:hAnsi="宋体"/>
                <w:sz w:val="18"/>
                <w:szCs w:val="18"/>
              </w:rPr>
            </w:pPr>
          </w:p>
        </w:tc>
      </w:tr>
      <w:tr w14:paraId="30E7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24643D48">
            <w:pPr>
              <w:spacing w:line="360" w:lineRule="auto"/>
              <w:rPr>
                <w:rFonts w:ascii="宋体" w:hAnsi="宋体"/>
              </w:rPr>
            </w:pPr>
            <w:r>
              <w:rPr>
                <w:rFonts w:ascii="宋体" w:hAnsi="宋体"/>
              </w:rPr>
              <w:t>5</w:t>
            </w:r>
          </w:p>
        </w:tc>
        <w:tc>
          <w:tcPr>
            <w:tcW w:w="2542" w:type="dxa"/>
            <w:gridSpan w:val="2"/>
          </w:tcPr>
          <w:p w14:paraId="1E2539D2">
            <w:pPr>
              <w:spacing w:line="360" w:lineRule="auto"/>
              <w:rPr>
                <w:rFonts w:ascii="宋体" w:hAnsi="宋体"/>
              </w:rPr>
            </w:pPr>
            <w:r>
              <w:rPr>
                <w:rFonts w:hint="eastAsia" w:ascii="宋体" w:hAnsi="宋体"/>
              </w:rPr>
              <w:t>服务态度</w:t>
            </w:r>
          </w:p>
        </w:tc>
        <w:tc>
          <w:tcPr>
            <w:tcW w:w="846" w:type="dxa"/>
          </w:tcPr>
          <w:p w14:paraId="4F59546C">
            <w:pPr>
              <w:spacing w:line="360" w:lineRule="auto"/>
              <w:jc w:val="center"/>
              <w:rPr>
                <w:rFonts w:ascii="宋体" w:hAnsi="宋体"/>
              </w:rPr>
            </w:pPr>
            <w:r>
              <w:rPr>
                <w:rFonts w:hint="eastAsia" w:ascii="宋体" w:hAnsi="宋体"/>
              </w:rPr>
              <w:t>【5】</w:t>
            </w:r>
          </w:p>
        </w:tc>
        <w:tc>
          <w:tcPr>
            <w:tcW w:w="1007" w:type="dxa"/>
          </w:tcPr>
          <w:p w14:paraId="6CFB8189">
            <w:pPr>
              <w:spacing w:line="360" w:lineRule="auto"/>
              <w:jc w:val="center"/>
              <w:rPr>
                <w:rFonts w:ascii="宋体" w:hAnsi="宋体"/>
              </w:rPr>
            </w:pPr>
            <w:r>
              <w:rPr>
                <w:rFonts w:hint="eastAsia" w:ascii="宋体" w:hAnsi="宋体"/>
              </w:rPr>
              <w:t>/</w:t>
            </w:r>
          </w:p>
        </w:tc>
        <w:tc>
          <w:tcPr>
            <w:tcW w:w="3119" w:type="dxa"/>
            <w:vMerge w:val="restart"/>
          </w:tcPr>
          <w:p w14:paraId="32C0BD3C">
            <w:pPr>
              <w:spacing w:line="360" w:lineRule="auto"/>
              <w:rPr>
                <w:rFonts w:ascii="宋体" w:hAnsi="宋体"/>
              </w:rPr>
            </w:pPr>
            <w:r>
              <w:rPr>
                <w:rFonts w:hint="eastAsia" w:ascii="宋体" w:hAnsi="宋体"/>
                <w:sz w:val="18"/>
                <w:szCs w:val="18"/>
              </w:rPr>
              <w:t>以甲方对接人员的主观评价为准，对于爱理不理、未履行双方事项约定，服务不主动开情况酌情评分</w:t>
            </w:r>
          </w:p>
        </w:tc>
      </w:tr>
      <w:tr w14:paraId="5CD8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3094FC9D">
            <w:pPr>
              <w:spacing w:line="360" w:lineRule="auto"/>
              <w:jc w:val="right"/>
              <w:rPr>
                <w:rFonts w:ascii="宋体" w:hAnsi="宋体"/>
              </w:rPr>
            </w:pPr>
            <w:r>
              <w:rPr>
                <w:rFonts w:ascii="宋体" w:hAnsi="宋体"/>
              </w:rPr>
              <w:t>5</w:t>
            </w:r>
            <w:r>
              <w:rPr>
                <w:rFonts w:hint="eastAsia" w:ascii="宋体" w:hAnsi="宋体"/>
              </w:rPr>
              <w:t>.1</w:t>
            </w:r>
          </w:p>
        </w:tc>
        <w:tc>
          <w:tcPr>
            <w:tcW w:w="2542" w:type="dxa"/>
            <w:gridSpan w:val="2"/>
          </w:tcPr>
          <w:p w14:paraId="67715B94">
            <w:pPr>
              <w:spacing w:line="360" w:lineRule="auto"/>
              <w:rPr>
                <w:rFonts w:ascii="宋体" w:hAnsi="宋体"/>
              </w:rPr>
            </w:pPr>
            <w:r>
              <w:rPr>
                <w:rFonts w:hint="eastAsia" w:ascii="宋体" w:hAnsi="宋体"/>
              </w:rPr>
              <w:t>服务文明礼仪</w:t>
            </w:r>
          </w:p>
        </w:tc>
        <w:tc>
          <w:tcPr>
            <w:tcW w:w="846" w:type="dxa"/>
          </w:tcPr>
          <w:p w14:paraId="681176CD">
            <w:pPr>
              <w:spacing w:line="360" w:lineRule="auto"/>
              <w:jc w:val="center"/>
              <w:rPr>
                <w:rFonts w:ascii="宋体" w:hAnsi="宋体"/>
              </w:rPr>
            </w:pPr>
            <w:r>
              <w:rPr>
                <w:rFonts w:ascii="宋体" w:hAnsi="宋体"/>
              </w:rPr>
              <w:t>1</w:t>
            </w:r>
          </w:p>
        </w:tc>
        <w:tc>
          <w:tcPr>
            <w:tcW w:w="1007" w:type="dxa"/>
          </w:tcPr>
          <w:p w14:paraId="7F20C650">
            <w:pPr>
              <w:spacing w:line="360" w:lineRule="auto"/>
              <w:jc w:val="center"/>
              <w:rPr>
                <w:rFonts w:ascii="宋体" w:hAnsi="宋体"/>
              </w:rPr>
            </w:pPr>
          </w:p>
        </w:tc>
        <w:tc>
          <w:tcPr>
            <w:tcW w:w="3119" w:type="dxa"/>
            <w:vMerge w:val="continue"/>
          </w:tcPr>
          <w:p w14:paraId="20816A9A">
            <w:pPr>
              <w:spacing w:line="360" w:lineRule="auto"/>
              <w:rPr>
                <w:rFonts w:ascii="宋体" w:hAnsi="宋体"/>
              </w:rPr>
            </w:pPr>
          </w:p>
        </w:tc>
      </w:tr>
      <w:tr w14:paraId="4E26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Pr>
          <w:p w14:paraId="4F7F2428">
            <w:pPr>
              <w:spacing w:line="360" w:lineRule="auto"/>
              <w:jc w:val="right"/>
              <w:rPr>
                <w:rFonts w:ascii="宋体" w:hAnsi="宋体"/>
              </w:rPr>
            </w:pPr>
            <w:r>
              <w:rPr>
                <w:rFonts w:ascii="宋体" w:hAnsi="宋体"/>
              </w:rPr>
              <w:t>5</w:t>
            </w:r>
            <w:r>
              <w:rPr>
                <w:rFonts w:hint="eastAsia" w:ascii="宋体" w:hAnsi="宋体"/>
              </w:rPr>
              <w:t>.2</w:t>
            </w:r>
          </w:p>
        </w:tc>
        <w:tc>
          <w:tcPr>
            <w:tcW w:w="2542" w:type="dxa"/>
            <w:gridSpan w:val="2"/>
          </w:tcPr>
          <w:p w14:paraId="42F8DE19">
            <w:pPr>
              <w:spacing w:line="360" w:lineRule="auto"/>
              <w:rPr>
                <w:rFonts w:ascii="宋体" w:hAnsi="宋体"/>
              </w:rPr>
            </w:pPr>
            <w:r>
              <w:rPr>
                <w:rFonts w:hint="eastAsia" w:ascii="宋体" w:hAnsi="宋体"/>
              </w:rPr>
              <w:t>服务安全</w:t>
            </w:r>
          </w:p>
        </w:tc>
        <w:tc>
          <w:tcPr>
            <w:tcW w:w="846" w:type="dxa"/>
          </w:tcPr>
          <w:p w14:paraId="19C8D108">
            <w:pPr>
              <w:spacing w:line="360" w:lineRule="auto"/>
              <w:jc w:val="center"/>
              <w:rPr>
                <w:rFonts w:ascii="宋体" w:hAnsi="宋体"/>
              </w:rPr>
            </w:pPr>
            <w:r>
              <w:rPr>
                <w:rFonts w:ascii="宋体" w:hAnsi="宋体"/>
              </w:rPr>
              <w:t>1</w:t>
            </w:r>
          </w:p>
        </w:tc>
        <w:tc>
          <w:tcPr>
            <w:tcW w:w="1007" w:type="dxa"/>
          </w:tcPr>
          <w:p w14:paraId="37013654">
            <w:pPr>
              <w:spacing w:line="360" w:lineRule="auto"/>
              <w:jc w:val="center"/>
              <w:rPr>
                <w:rFonts w:ascii="宋体" w:hAnsi="宋体"/>
              </w:rPr>
            </w:pPr>
          </w:p>
        </w:tc>
        <w:tc>
          <w:tcPr>
            <w:tcW w:w="3119" w:type="dxa"/>
            <w:vMerge w:val="continue"/>
          </w:tcPr>
          <w:p w14:paraId="615312B9">
            <w:pPr>
              <w:spacing w:line="360" w:lineRule="auto"/>
              <w:rPr>
                <w:rFonts w:ascii="宋体" w:hAnsi="宋体"/>
              </w:rPr>
            </w:pPr>
          </w:p>
        </w:tc>
      </w:tr>
      <w:tr w14:paraId="0008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1" w:type="dxa"/>
          </w:tcPr>
          <w:p w14:paraId="66170CDD">
            <w:pPr>
              <w:spacing w:line="360" w:lineRule="auto"/>
              <w:jc w:val="right"/>
              <w:rPr>
                <w:rFonts w:ascii="宋体" w:hAnsi="宋体"/>
              </w:rPr>
            </w:pPr>
            <w:r>
              <w:rPr>
                <w:rFonts w:ascii="宋体" w:hAnsi="宋体"/>
              </w:rPr>
              <w:t>5</w:t>
            </w:r>
            <w:r>
              <w:rPr>
                <w:rFonts w:hint="eastAsia" w:ascii="宋体" w:hAnsi="宋体"/>
              </w:rPr>
              <w:t>.3</w:t>
            </w:r>
          </w:p>
        </w:tc>
        <w:tc>
          <w:tcPr>
            <w:tcW w:w="2542" w:type="dxa"/>
            <w:gridSpan w:val="2"/>
          </w:tcPr>
          <w:p w14:paraId="3F43320B">
            <w:pPr>
              <w:spacing w:line="360" w:lineRule="auto"/>
              <w:rPr>
                <w:rFonts w:ascii="宋体" w:hAnsi="宋体"/>
              </w:rPr>
            </w:pPr>
            <w:r>
              <w:rPr>
                <w:rFonts w:hint="eastAsia" w:ascii="宋体" w:hAnsi="宋体"/>
              </w:rPr>
              <w:t>服务主动性积极性</w:t>
            </w:r>
          </w:p>
        </w:tc>
        <w:tc>
          <w:tcPr>
            <w:tcW w:w="846" w:type="dxa"/>
          </w:tcPr>
          <w:p w14:paraId="6BAF717A">
            <w:pPr>
              <w:spacing w:line="360" w:lineRule="auto"/>
              <w:jc w:val="center"/>
              <w:rPr>
                <w:rFonts w:ascii="宋体" w:hAnsi="宋体"/>
              </w:rPr>
            </w:pPr>
            <w:r>
              <w:rPr>
                <w:rFonts w:ascii="宋体" w:hAnsi="宋体"/>
              </w:rPr>
              <w:t>3</w:t>
            </w:r>
          </w:p>
        </w:tc>
        <w:tc>
          <w:tcPr>
            <w:tcW w:w="1007" w:type="dxa"/>
          </w:tcPr>
          <w:p w14:paraId="2EA8E031">
            <w:pPr>
              <w:spacing w:line="360" w:lineRule="auto"/>
              <w:jc w:val="center"/>
              <w:rPr>
                <w:rFonts w:ascii="宋体" w:hAnsi="宋体"/>
              </w:rPr>
            </w:pPr>
          </w:p>
        </w:tc>
        <w:tc>
          <w:tcPr>
            <w:tcW w:w="3119" w:type="dxa"/>
            <w:vMerge w:val="continue"/>
          </w:tcPr>
          <w:p w14:paraId="0AA519D6">
            <w:pPr>
              <w:spacing w:line="360" w:lineRule="auto"/>
              <w:rPr>
                <w:rFonts w:ascii="宋体" w:hAnsi="宋体"/>
              </w:rPr>
            </w:pPr>
          </w:p>
        </w:tc>
      </w:tr>
      <w:tr w14:paraId="26F9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92" w:type="dxa"/>
            <w:gridSpan w:val="2"/>
          </w:tcPr>
          <w:p w14:paraId="78EFED19">
            <w:pPr>
              <w:spacing w:line="360" w:lineRule="auto"/>
              <w:jc w:val="center"/>
              <w:rPr>
                <w:rFonts w:hint="default" w:ascii="宋体" w:hAnsi="宋体" w:eastAsia="宋体"/>
                <w:lang w:val="en-US" w:eastAsia="zh-CN"/>
              </w:rPr>
            </w:pPr>
            <w:r>
              <w:rPr>
                <w:rFonts w:hint="eastAsia" w:ascii="宋体" w:hAnsi="宋体"/>
                <w:lang w:val="en-US" w:eastAsia="zh-CN"/>
              </w:rPr>
              <w:t>考核人签字</w:t>
            </w:r>
          </w:p>
        </w:tc>
        <w:tc>
          <w:tcPr>
            <w:tcW w:w="6363" w:type="dxa"/>
            <w:gridSpan w:val="4"/>
          </w:tcPr>
          <w:p w14:paraId="123F60D2">
            <w:pPr>
              <w:spacing w:line="360" w:lineRule="auto"/>
              <w:rPr>
                <w:rFonts w:ascii="宋体" w:hAnsi="宋体"/>
              </w:rPr>
            </w:pPr>
          </w:p>
        </w:tc>
      </w:tr>
    </w:tbl>
    <w:p w14:paraId="3737B675">
      <w:pPr>
        <w:autoSpaceDE w:val="0"/>
        <w:autoSpaceDN w:val="0"/>
        <w:spacing w:line="312" w:lineRule="auto"/>
        <w:ind w:firstLine="632" w:firstLineChars="300"/>
        <w:rPr>
          <w:rFonts w:ascii="宋体" w:hAnsi="宋体" w:cs="宋体"/>
          <w:b/>
        </w:rPr>
      </w:pPr>
    </w:p>
    <w:p w14:paraId="7DDDA21B">
      <w:pPr>
        <w:autoSpaceDE w:val="0"/>
        <w:autoSpaceDN w:val="0"/>
        <w:spacing w:line="312" w:lineRule="auto"/>
        <w:ind w:firstLine="632" w:firstLineChars="300"/>
        <w:rPr>
          <w:rFonts w:hint="eastAsia" w:ascii="宋体" w:hAnsi="宋体" w:cs="宋体"/>
        </w:rPr>
      </w:pPr>
      <w:r>
        <w:rPr>
          <w:rFonts w:hint="eastAsia" w:ascii="宋体" w:hAnsi="宋体" w:cs="宋体"/>
          <w:b/>
        </w:rPr>
        <w:t>注：</w:t>
      </w:r>
      <w:r>
        <w:rPr>
          <w:rFonts w:hint="eastAsia" w:ascii="宋体" w:hAnsi="宋体" w:cs="宋体"/>
        </w:rPr>
        <w:t xml:space="preserve"> 考核低于 80 分的，视为服务不合格，医院有权提前终止合同并扣减相关维保费用。</w:t>
      </w:r>
    </w:p>
    <w:p w14:paraId="5B69E199"/>
    <w:p w14:paraId="381039EF"/>
    <w:p w14:paraId="0D8F1406">
      <w:pPr>
        <w:rPr>
          <w:rFonts w:hint="eastAsia"/>
        </w:rPr>
      </w:pPr>
    </w:p>
    <w:p w14:paraId="3DD35B0A">
      <w:pPr>
        <w:pStyle w:val="2"/>
        <w:rPr>
          <w:rFonts w:hint="eastAsia"/>
        </w:rPr>
      </w:pPr>
    </w:p>
    <w:p w14:paraId="65BA43AE">
      <w:pPr>
        <w:rPr>
          <w:rFonts w:hint="eastAsia"/>
        </w:rPr>
      </w:pPr>
    </w:p>
    <w:p w14:paraId="7F150C75">
      <w:pPr>
        <w:pStyle w:val="2"/>
        <w:rPr>
          <w:rFonts w:hint="eastAsia"/>
        </w:rPr>
      </w:pPr>
    </w:p>
    <w:p w14:paraId="37399754">
      <w:pPr>
        <w:rPr>
          <w:rFonts w:hint="eastAsia"/>
        </w:rPr>
      </w:pPr>
    </w:p>
    <w:p w14:paraId="781F4B94">
      <w:pPr>
        <w:pStyle w:val="2"/>
        <w:rPr>
          <w:rFonts w:hint="eastAsia"/>
        </w:rPr>
      </w:pPr>
    </w:p>
    <w:p w14:paraId="376965EF">
      <w:pPr>
        <w:rPr>
          <w:rFonts w:hint="eastAsia"/>
        </w:rPr>
      </w:pPr>
    </w:p>
    <w:p w14:paraId="64F33D73">
      <w:pPr>
        <w:pStyle w:val="2"/>
        <w:rPr>
          <w:rFonts w:hint="eastAsia"/>
        </w:rPr>
      </w:pPr>
    </w:p>
    <w:p w14:paraId="3034AAC8">
      <w:pPr>
        <w:rPr>
          <w:rFonts w:hint="eastAsia"/>
        </w:rPr>
      </w:pPr>
    </w:p>
    <w:p w14:paraId="0D3217FF">
      <w:pPr>
        <w:pStyle w:val="2"/>
        <w:rPr>
          <w:rFonts w:hint="eastAsia"/>
        </w:rPr>
      </w:pPr>
    </w:p>
    <w:p w14:paraId="40627E75">
      <w:pPr>
        <w:rPr>
          <w:rFonts w:hint="eastAsia"/>
        </w:rPr>
      </w:pPr>
    </w:p>
    <w:p w14:paraId="453FC657">
      <w:pPr>
        <w:pStyle w:val="2"/>
        <w:rPr>
          <w:rFonts w:hint="eastAsia"/>
        </w:rPr>
      </w:pPr>
    </w:p>
    <w:p w14:paraId="22984029">
      <w:pPr>
        <w:rPr>
          <w:rFonts w:hint="eastAsia"/>
        </w:rPr>
      </w:pPr>
    </w:p>
    <w:p w14:paraId="447C50C2">
      <w:pPr>
        <w:pStyle w:val="2"/>
        <w:rPr>
          <w:rFonts w:hint="eastAsia"/>
        </w:rPr>
      </w:pPr>
    </w:p>
    <w:p w14:paraId="44FFF2A3">
      <w:pPr>
        <w:pStyle w:val="3"/>
        <w:ind w:firstLine="440" w:firstLineChars="100"/>
        <w:jc w:val="both"/>
        <w:rPr>
          <w:rFonts w:ascii="黑体" w:eastAsia="黑体"/>
          <w:bCs/>
          <w:sz w:val="44"/>
        </w:rPr>
      </w:pPr>
      <w:r>
        <w:rPr>
          <w:rFonts w:hint="eastAsia" w:ascii="黑体" w:eastAsia="黑体"/>
          <w:bCs/>
          <w:sz w:val="44"/>
        </w:rPr>
        <w:t xml:space="preserve">第五章   </w:t>
      </w:r>
      <w:bookmarkEnd w:id="164"/>
      <w:bookmarkEnd w:id="165"/>
      <w:bookmarkEnd w:id="166"/>
      <w:r>
        <w:rPr>
          <w:rFonts w:hint="eastAsia" w:ascii="黑体" w:eastAsia="黑体"/>
          <w:bCs/>
          <w:sz w:val="44"/>
        </w:rPr>
        <w:t>单一来源谈判响应文件格式</w:t>
      </w:r>
      <w:bookmarkEnd w:id="167"/>
      <w:r>
        <w:rPr>
          <w:rFonts w:hint="eastAsia" w:ascii="黑体" w:eastAsia="黑体"/>
          <w:bCs/>
          <w:sz w:val="44"/>
        </w:rPr>
        <w:t xml:space="preserve"> </w:t>
      </w:r>
    </w:p>
    <w:p w14:paraId="2A0C237E">
      <w:pPr>
        <w:pStyle w:val="3"/>
        <w:ind w:left="1260" w:leftChars="600"/>
        <w:jc w:val="both"/>
        <w:rPr>
          <w:rFonts w:ascii="黑体" w:eastAsia="黑体"/>
          <w:bCs/>
          <w:sz w:val="44"/>
        </w:rPr>
      </w:pPr>
      <w:r>
        <w:rPr>
          <w:rFonts w:hint="eastAsia" w:ascii="宋体" w:hAnsi="宋体" w:eastAsia="宋体"/>
          <w:sz w:val="24"/>
          <w:szCs w:val="21"/>
        </w:rPr>
        <w:t>（响应文件一式两份，一正本一副本）</w:t>
      </w:r>
    </w:p>
    <w:p w14:paraId="2EBA6F2B">
      <w:pPr>
        <w:jc w:val="center"/>
        <w:rPr>
          <w:rFonts w:ascii="宋体" w:hAnsi="宋体"/>
          <w:b/>
          <w:sz w:val="72"/>
        </w:rPr>
      </w:pPr>
      <w:bookmarkStart w:id="168" w:name="_Hlt26671244"/>
      <w:bookmarkEnd w:id="168"/>
      <w:bookmarkStart w:id="169" w:name="_Hlt26955039"/>
      <w:bookmarkEnd w:id="169"/>
      <w:bookmarkStart w:id="170" w:name="_Toc26554094"/>
      <w:bookmarkStart w:id="171" w:name="_Toc49090576"/>
      <w:bookmarkStart w:id="172" w:name="_Toc120614282"/>
    </w:p>
    <w:p w14:paraId="414788A8">
      <w:pPr>
        <w:jc w:val="center"/>
        <w:rPr>
          <w:rFonts w:ascii="宋体" w:hAnsi="宋体"/>
          <w:b/>
          <w:sz w:val="72"/>
        </w:rPr>
      </w:pPr>
    </w:p>
    <w:p w14:paraId="70526C2C">
      <w:pPr>
        <w:jc w:val="center"/>
        <w:rPr>
          <w:rFonts w:ascii="宋体" w:hAnsi="宋体"/>
          <w:b/>
          <w:sz w:val="72"/>
        </w:rPr>
      </w:pPr>
      <w:r>
        <w:rPr>
          <w:rFonts w:hint="eastAsia" w:ascii="宋体" w:hAnsi="宋体"/>
          <w:b/>
          <w:sz w:val="72"/>
        </w:rPr>
        <w:t>单一来源谈判响应文件</w:t>
      </w:r>
    </w:p>
    <w:p w14:paraId="250CB757">
      <w:pPr>
        <w:jc w:val="center"/>
        <w:rPr>
          <w:rFonts w:ascii="宋体" w:hAnsi="宋体"/>
          <w:b/>
          <w:sz w:val="72"/>
        </w:rPr>
      </w:pPr>
    </w:p>
    <w:p w14:paraId="73E2590C">
      <w:pPr>
        <w:jc w:val="center"/>
        <w:rPr>
          <w:rFonts w:ascii="宋体" w:hAnsi="宋体"/>
          <w:b/>
          <w:sz w:val="36"/>
        </w:rPr>
      </w:pPr>
    </w:p>
    <w:p w14:paraId="06B388FC">
      <w:pPr>
        <w:jc w:val="both"/>
        <w:rPr>
          <w:rFonts w:ascii="宋体" w:hAnsi="宋体"/>
          <w:b/>
          <w:sz w:val="36"/>
        </w:rPr>
      </w:pPr>
    </w:p>
    <w:p w14:paraId="309AEBB0">
      <w:pPr>
        <w:jc w:val="center"/>
        <w:rPr>
          <w:rFonts w:ascii="宋体" w:hAnsi="宋体"/>
          <w:b/>
          <w:sz w:val="36"/>
        </w:rPr>
      </w:pPr>
    </w:p>
    <w:p w14:paraId="425084FF">
      <w:pPr>
        <w:ind w:firstLine="1084" w:firstLineChars="300"/>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260AFE1C">
      <w:pPr>
        <w:ind w:firstLine="1084" w:firstLineChars="300"/>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0EC338FD">
      <w:pPr>
        <w:rPr>
          <w:rFonts w:ascii="宋体" w:hAnsi="宋体"/>
          <w:b/>
          <w:sz w:val="36"/>
          <w:u w:val="single"/>
        </w:rPr>
      </w:pPr>
      <w:r>
        <w:rPr>
          <w:rFonts w:hint="eastAsia" w:ascii="宋体" w:hAnsi="宋体"/>
          <w:b/>
          <w:sz w:val="36"/>
        </w:rPr>
        <w:t xml:space="preserve">      供应商 名称：</w:t>
      </w:r>
      <w:r>
        <w:rPr>
          <w:rFonts w:hint="eastAsia" w:ascii="宋体" w:hAnsi="宋体"/>
          <w:b/>
          <w:sz w:val="36"/>
          <w:u w:val="single"/>
        </w:rPr>
        <w:t xml:space="preserve"> </w:t>
      </w:r>
      <w:r>
        <w:rPr>
          <w:rFonts w:ascii="宋体" w:hAnsi="宋体"/>
          <w:b/>
          <w:sz w:val="36"/>
          <w:u w:val="single"/>
        </w:rPr>
        <w:t xml:space="preserve">                </w:t>
      </w:r>
      <w:r>
        <w:rPr>
          <w:rFonts w:hint="eastAsia" w:ascii="宋体" w:hAnsi="宋体"/>
          <w:b/>
          <w:sz w:val="36"/>
          <w:u w:val="single"/>
        </w:rPr>
        <w:t xml:space="preserve"> </w:t>
      </w:r>
    </w:p>
    <w:p w14:paraId="726DF9F4">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001B00C1">
      <w:pPr>
        <w:spacing w:line="440" w:lineRule="exact"/>
        <w:jc w:val="center"/>
        <w:rPr>
          <w:lang w:val="zh-CN"/>
        </w:rPr>
      </w:pPr>
      <w:r>
        <w:rPr>
          <w:rFonts w:ascii="宋体" w:hAnsi="宋体"/>
          <w:b/>
          <w:bCs/>
          <w:sz w:val="32"/>
          <w:szCs w:val="32"/>
        </w:rPr>
        <w:br w:type="page"/>
      </w:r>
    </w:p>
    <w:p w14:paraId="26F88A03">
      <w:pPr>
        <w:pStyle w:val="2"/>
        <w:ind w:firstLine="3855" w:firstLineChars="1200"/>
        <w:rPr>
          <w:sz w:val="32"/>
          <w:szCs w:val="32"/>
        </w:rPr>
      </w:pPr>
      <w:r>
        <w:rPr>
          <w:rFonts w:hint="eastAsia"/>
          <w:sz w:val="32"/>
          <w:szCs w:val="32"/>
        </w:rPr>
        <w:t>响应文件目录</w:t>
      </w:r>
    </w:p>
    <w:p w14:paraId="27D35AC7">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一、资质索引表及资质证明材料</w:t>
      </w:r>
    </w:p>
    <w:p w14:paraId="724E434E">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二、法定代表人授权书</w:t>
      </w:r>
    </w:p>
    <w:p w14:paraId="3F78FE53">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三、单一来源谈判响应函</w:t>
      </w:r>
    </w:p>
    <w:p w14:paraId="1FC17AB7">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四、报价一览表</w:t>
      </w:r>
    </w:p>
    <w:p w14:paraId="5C8D79AC">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五、服务条款响应偏离表</w:t>
      </w:r>
    </w:p>
    <w:p w14:paraId="3A81A85B">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六、商务条款响应偏离表</w:t>
      </w:r>
    </w:p>
    <w:p w14:paraId="1B2481FA">
      <w:pPr>
        <w:snapToGrid w:val="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七、业绩表（附相关合同复印件）</w:t>
      </w:r>
    </w:p>
    <w:p w14:paraId="629B2245">
      <w:pPr>
        <w:keepNext/>
        <w:keepLines/>
        <w:spacing w:before="260" w:after="260" w:line="360" w:lineRule="auto"/>
        <w:ind w:firstLine="3534" w:firstLineChars="1100"/>
        <w:jc w:val="left"/>
        <w:outlineLvl w:val="1"/>
        <w:rPr>
          <w:rFonts w:ascii="黑体" w:hAnsi="黑体" w:eastAsia="黑体"/>
          <w:b/>
          <w:sz w:val="32"/>
          <w:szCs w:val="32"/>
        </w:rPr>
      </w:pPr>
      <w:r>
        <w:rPr>
          <w:rFonts w:hint="eastAsia" w:ascii="黑体" w:hAnsi="黑体" w:eastAsia="黑体"/>
          <w:b/>
          <w:sz w:val="32"/>
          <w:szCs w:val="32"/>
        </w:rPr>
        <w:t>资质索引表</w:t>
      </w:r>
    </w:p>
    <w:tbl>
      <w:tblPr>
        <w:tblStyle w:val="14"/>
        <w:tblW w:w="893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0"/>
        <w:gridCol w:w="1985"/>
        <w:gridCol w:w="1985"/>
      </w:tblGrid>
      <w:tr w14:paraId="0286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vAlign w:val="center"/>
          </w:tcPr>
          <w:p w14:paraId="747E91B9">
            <w:pPr>
              <w:widowControl/>
              <w:shd w:val="clear" w:color="auto" w:fill="FFFFFF"/>
              <w:spacing w:line="265" w:lineRule="atLeast"/>
              <w:ind w:left="420" w:firstLine="1054" w:firstLineChars="500"/>
              <w:contextualSpacing/>
              <w:rPr>
                <w:rFonts w:ascii="宋体" w:hAnsi="宋体"/>
                <w:b/>
                <w:bCs/>
                <w:lang w:bidi="en-US"/>
              </w:rPr>
            </w:pPr>
            <w:r>
              <w:rPr>
                <w:rFonts w:hint="eastAsia" w:ascii="宋体" w:hAnsi="宋体"/>
                <w:b/>
                <w:lang w:bidi="en-US"/>
              </w:rPr>
              <w:t>资质项目</w:t>
            </w:r>
          </w:p>
        </w:tc>
        <w:tc>
          <w:tcPr>
            <w:tcW w:w="1985" w:type="dxa"/>
            <w:vAlign w:val="center"/>
          </w:tcPr>
          <w:p w14:paraId="36A94C2F">
            <w:pPr>
              <w:jc w:val="center"/>
              <w:rPr>
                <w:rFonts w:ascii="宋体" w:hAnsi="宋体"/>
                <w:b/>
              </w:rPr>
            </w:pPr>
            <w:r>
              <w:rPr>
                <w:rFonts w:hint="eastAsia" w:ascii="宋体" w:hAnsi="宋体"/>
                <w:b/>
                <w:kern w:val="0"/>
                <w:lang w:bidi="en-US"/>
              </w:rPr>
              <w:t>在响应文件中的页码位置</w:t>
            </w:r>
          </w:p>
        </w:tc>
        <w:tc>
          <w:tcPr>
            <w:tcW w:w="1985" w:type="dxa"/>
            <w:vAlign w:val="center"/>
          </w:tcPr>
          <w:p w14:paraId="17DC8928">
            <w:pPr>
              <w:jc w:val="center"/>
              <w:rPr>
                <w:rFonts w:ascii="宋体" w:hAnsi="宋体"/>
                <w:b/>
                <w:kern w:val="0"/>
                <w:lang w:bidi="en-US"/>
              </w:rPr>
            </w:pPr>
            <w:r>
              <w:rPr>
                <w:rFonts w:hint="eastAsia" w:ascii="宋体" w:hAnsi="宋体"/>
                <w:b/>
                <w:kern w:val="0"/>
                <w:lang w:bidi="en-US"/>
              </w:rPr>
              <w:t>备注</w:t>
            </w:r>
          </w:p>
        </w:tc>
      </w:tr>
      <w:tr w14:paraId="0B9D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7FFA0692">
            <w:pPr>
              <w:snapToGrid w:val="0"/>
              <w:rPr>
                <w:rFonts w:ascii="宋体" w:hAnsi="宋体"/>
                <w:b/>
                <w:sz w:val="24"/>
                <w:szCs w:val="24"/>
                <w:lang w:bidi="en-US"/>
              </w:rPr>
            </w:pPr>
            <w:r>
              <w:rPr>
                <w:rFonts w:hint="eastAsia" w:asciiTheme="minorEastAsia" w:hAnsiTheme="minorEastAsia" w:eastAsiaTheme="minorEastAsia" w:cstheme="minorEastAsia"/>
                <w:sz w:val="24"/>
                <w:szCs w:val="24"/>
              </w:rPr>
              <w:t>1.1具有独立承担民事责任的能力（提供</w:t>
            </w:r>
            <w:r>
              <w:rPr>
                <w:rFonts w:hint="eastAsia" w:asciiTheme="minorEastAsia" w:hAnsiTheme="minorEastAsia" w:eastAsiaTheme="minorEastAsia" w:cstheme="minorEastAsia"/>
                <w:kern w:val="0"/>
                <w:sz w:val="24"/>
                <w:szCs w:val="24"/>
              </w:rPr>
              <w:t>法人或者其他组织的营业执照等证明文件，自然人的身份证明</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w:t>
            </w:r>
          </w:p>
        </w:tc>
        <w:tc>
          <w:tcPr>
            <w:tcW w:w="1985" w:type="dxa"/>
          </w:tcPr>
          <w:p w14:paraId="35DB067A">
            <w:pPr>
              <w:rPr>
                <w:rFonts w:ascii="宋体" w:hAnsi="宋体"/>
                <w:b/>
                <w:kern w:val="0"/>
                <w:sz w:val="24"/>
                <w:szCs w:val="24"/>
                <w:lang w:bidi="en-US"/>
              </w:rPr>
            </w:pPr>
          </w:p>
        </w:tc>
        <w:tc>
          <w:tcPr>
            <w:tcW w:w="1985" w:type="dxa"/>
          </w:tcPr>
          <w:p w14:paraId="2E945568">
            <w:pPr>
              <w:rPr>
                <w:rFonts w:ascii="宋体" w:hAnsi="宋体"/>
                <w:b/>
                <w:kern w:val="0"/>
                <w:sz w:val="24"/>
                <w:szCs w:val="24"/>
                <w:lang w:bidi="en-US"/>
              </w:rPr>
            </w:pPr>
          </w:p>
        </w:tc>
      </w:tr>
      <w:tr w14:paraId="185C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2A4DB66A">
            <w:pPr>
              <w:widowControl/>
              <w:shd w:val="clear" w:color="auto" w:fill="FFFFFF"/>
              <w:spacing w:line="265" w:lineRule="atLeast"/>
              <w:contextualSpacing/>
              <w:jc w:val="lef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1.2具有良好的商业信誉和健全的财务会计制度（提供上一年度的财务状况报告，成立不满一年不需提供）；或提供南京市政府采购供应商信用记录表暨信用承诺书原件；</w:t>
            </w:r>
          </w:p>
        </w:tc>
        <w:tc>
          <w:tcPr>
            <w:tcW w:w="1985" w:type="dxa"/>
          </w:tcPr>
          <w:p w14:paraId="025BC299">
            <w:pPr>
              <w:rPr>
                <w:rFonts w:ascii="宋体" w:hAnsi="宋体"/>
                <w:szCs w:val="24"/>
              </w:rPr>
            </w:pPr>
          </w:p>
        </w:tc>
        <w:tc>
          <w:tcPr>
            <w:tcW w:w="1985" w:type="dxa"/>
          </w:tcPr>
          <w:p w14:paraId="15452301">
            <w:pPr>
              <w:rPr>
                <w:rFonts w:ascii="宋体" w:hAnsi="宋体"/>
                <w:szCs w:val="24"/>
              </w:rPr>
            </w:pPr>
          </w:p>
        </w:tc>
      </w:tr>
      <w:tr w14:paraId="7042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3269CE11">
            <w:pPr>
              <w:widowControl/>
              <w:shd w:val="clear" w:color="auto" w:fill="FFFFFF"/>
              <w:spacing w:line="265" w:lineRule="atLeast"/>
              <w:contextualSpacing/>
              <w:jc w:val="lef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1.3有依法缴纳税收和社会保障资金的良好记录（提供供应商参加本次政府采购活动前近一年至少一个月缴纳税收及缴纳社会保障资金的证明材料。供应商依法享受缓缴、免缴税收、社会保障资金的提供证明材料）；或提供南京市政府采购供应商信用记录表暨信用承诺书原件；</w:t>
            </w:r>
          </w:p>
        </w:tc>
        <w:tc>
          <w:tcPr>
            <w:tcW w:w="1985" w:type="dxa"/>
          </w:tcPr>
          <w:p w14:paraId="201328B0">
            <w:pPr>
              <w:rPr>
                <w:rFonts w:ascii="宋体" w:hAnsi="宋体"/>
                <w:szCs w:val="24"/>
              </w:rPr>
            </w:pPr>
          </w:p>
        </w:tc>
        <w:tc>
          <w:tcPr>
            <w:tcW w:w="1985" w:type="dxa"/>
          </w:tcPr>
          <w:p w14:paraId="1A0C987E">
            <w:pPr>
              <w:rPr>
                <w:rFonts w:ascii="宋体" w:hAnsi="宋体"/>
                <w:szCs w:val="24"/>
              </w:rPr>
            </w:pPr>
          </w:p>
        </w:tc>
      </w:tr>
      <w:tr w14:paraId="1E2E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51D3B35D">
            <w:pPr>
              <w:widowControl/>
              <w:shd w:val="clear" w:color="auto" w:fill="FFFFFF"/>
              <w:spacing w:line="265" w:lineRule="atLeast"/>
              <w:contextualSpacing/>
              <w:jc w:val="lef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1.4具有履行合同所必需的设备和专业技术能力（提供书面声明）；</w:t>
            </w:r>
          </w:p>
        </w:tc>
        <w:tc>
          <w:tcPr>
            <w:tcW w:w="1985" w:type="dxa"/>
          </w:tcPr>
          <w:p w14:paraId="4194DCEA">
            <w:pPr>
              <w:rPr>
                <w:rFonts w:ascii="宋体" w:hAnsi="宋体"/>
                <w:szCs w:val="24"/>
              </w:rPr>
            </w:pPr>
          </w:p>
        </w:tc>
        <w:tc>
          <w:tcPr>
            <w:tcW w:w="1985" w:type="dxa"/>
          </w:tcPr>
          <w:p w14:paraId="06EBC697">
            <w:pPr>
              <w:rPr>
                <w:rFonts w:ascii="宋体" w:hAnsi="宋体"/>
                <w:szCs w:val="24"/>
              </w:rPr>
            </w:pPr>
          </w:p>
        </w:tc>
      </w:tr>
      <w:tr w14:paraId="394B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71D5AFFA">
            <w:pPr>
              <w:widowControl/>
              <w:shd w:val="clear" w:color="auto" w:fill="FFFFFF"/>
              <w:spacing w:line="265" w:lineRule="atLeast"/>
              <w:contextualSpacing/>
              <w:jc w:val="left"/>
              <w:rPr>
                <w:rFonts w:ascii="宋体" w:hAnsi="宋体"/>
                <w:sz w:val="24"/>
                <w:szCs w:val="24"/>
                <w:lang w:bidi="en-US"/>
              </w:rPr>
            </w:pPr>
            <w:r>
              <w:rPr>
                <w:rFonts w:hint="eastAsia" w:asciiTheme="minorEastAsia" w:hAnsiTheme="minorEastAsia" w:eastAsiaTheme="minorEastAsia" w:cstheme="minorEastAsia"/>
                <w:kern w:val="0"/>
                <w:sz w:val="24"/>
                <w:szCs w:val="24"/>
              </w:rPr>
              <w:t>1.5参加政府采购活动前3年内在经营活动中没有重大违法记录（提供书面声明）。</w:t>
            </w:r>
          </w:p>
        </w:tc>
        <w:tc>
          <w:tcPr>
            <w:tcW w:w="1985" w:type="dxa"/>
          </w:tcPr>
          <w:p w14:paraId="2DCCF9D7">
            <w:pPr>
              <w:rPr>
                <w:rFonts w:ascii="宋体" w:hAnsi="宋体"/>
                <w:szCs w:val="24"/>
              </w:rPr>
            </w:pPr>
          </w:p>
        </w:tc>
        <w:tc>
          <w:tcPr>
            <w:tcW w:w="1985" w:type="dxa"/>
          </w:tcPr>
          <w:p w14:paraId="2B9975DD">
            <w:pPr>
              <w:rPr>
                <w:rFonts w:ascii="宋体" w:hAnsi="宋体"/>
                <w:szCs w:val="24"/>
              </w:rPr>
            </w:pPr>
          </w:p>
        </w:tc>
      </w:tr>
    </w:tbl>
    <w:p w14:paraId="1BD7DBD0">
      <w:pPr>
        <w:keepNext/>
        <w:keepLines/>
        <w:spacing w:before="260" w:after="260" w:line="360" w:lineRule="auto"/>
        <w:jc w:val="left"/>
        <w:outlineLvl w:val="1"/>
        <w:rPr>
          <w:rFonts w:ascii="宋体"/>
          <w:b/>
          <w:bCs/>
          <w:sz w:val="24"/>
          <w:szCs w:val="24"/>
        </w:rPr>
      </w:pPr>
      <w:r>
        <w:rPr>
          <w:rFonts w:hint="eastAsia" w:asciiTheme="minorEastAsia" w:hAnsiTheme="minorEastAsia" w:eastAsiaTheme="minorEastAsia" w:cstheme="minorEastAsia"/>
          <w:bCs/>
          <w:kern w:val="0"/>
          <w:sz w:val="24"/>
          <w:szCs w:val="24"/>
        </w:rPr>
        <w:t>注：行数应根据实际内容自行增减</w:t>
      </w:r>
      <w:r>
        <w:rPr>
          <w:rFonts w:ascii="宋体"/>
        </w:rPr>
        <w:br w:type="page"/>
      </w:r>
      <w:r>
        <w:rPr>
          <w:rFonts w:hint="eastAsia" w:ascii="宋体"/>
          <w:sz w:val="24"/>
          <w:szCs w:val="24"/>
        </w:rPr>
        <w:t xml:space="preserve">格式一 </w:t>
      </w:r>
      <w:r>
        <w:rPr>
          <w:rFonts w:ascii="宋体"/>
          <w:sz w:val="24"/>
          <w:szCs w:val="24"/>
        </w:rPr>
        <w:t xml:space="preserve">            </w:t>
      </w:r>
      <w:r>
        <w:rPr>
          <w:rFonts w:hint="eastAsia" w:ascii="黑体" w:hAnsi="黑体" w:eastAsia="黑体"/>
          <w:b/>
          <w:sz w:val="32"/>
          <w:szCs w:val="32"/>
        </w:rPr>
        <w:t xml:space="preserve">  单一来源谈判响应函</w:t>
      </w:r>
    </w:p>
    <w:p w14:paraId="43188019">
      <w:pPr>
        <w:pStyle w:val="20"/>
        <w:spacing w:before="0" w:after="0" w:line="300" w:lineRule="auto"/>
        <w:ind w:firstLine="0"/>
        <w:rPr>
          <w:rFonts w:ascii="宋体" w:hAnsi="宋体"/>
          <w:kern w:val="2"/>
          <w:szCs w:val="21"/>
        </w:rPr>
      </w:pPr>
      <w:r>
        <w:rPr>
          <w:rFonts w:hint="eastAsia" w:ascii="宋体" w:hAnsi="宋体"/>
          <w:kern w:val="2"/>
          <w:szCs w:val="21"/>
        </w:rPr>
        <w:t>致：南京市溧水区人民医院</w:t>
      </w:r>
    </w:p>
    <w:p w14:paraId="1DF70824">
      <w:pPr>
        <w:pStyle w:val="20"/>
        <w:spacing w:before="0" w:after="0" w:line="300" w:lineRule="auto"/>
        <w:ind w:firstLineChars="200"/>
        <w:rPr>
          <w:rFonts w:ascii="宋体" w:hAnsi="宋体"/>
          <w:kern w:val="2"/>
          <w:szCs w:val="21"/>
        </w:rPr>
      </w:pPr>
      <w:r>
        <w:rPr>
          <w:rFonts w:hint="eastAsia" w:ascii="宋体" w:hAnsi="宋体"/>
          <w:kern w:val="2"/>
          <w:szCs w:val="21"/>
        </w:rPr>
        <w:t>根据贵方的</w:t>
      </w:r>
      <w:r>
        <w:rPr>
          <w:rFonts w:hint="eastAsia" w:ascii="宋体" w:hAnsi="宋体"/>
          <w:b/>
          <w:sz w:val="36"/>
          <w:u w:val="single"/>
        </w:rPr>
        <w:t xml:space="preserve">            </w:t>
      </w:r>
      <w:r>
        <w:rPr>
          <w:rFonts w:hint="eastAsia" w:ascii="宋体" w:hAnsi="宋体"/>
          <w:kern w:val="2"/>
          <w:szCs w:val="21"/>
        </w:rPr>
        <w:t>号谈判采购文件，正式授权下述签字人_________________(姓名和职务)代表我方______________（供应商的名称），全权处理本次项目单一来源谈判采购的有关事宜。</w:t>
      </w:r>
    </w:p>
    <w:p w14:paraId="29000460">
      <w:pPr>
        <w:pStyle w:val="20"/>
        <w:spacing w:before="0" w:after="0" w:line="300" w:lineRule="auto"/>
        <w:ind w:firstLineChars="200"/>
        <w:rPr>
          <w:rFonts w:ascii="宋体" w:hAnsi="宋体"/>
          <w:kern w:val="2"/>
          <w:szCs w:val="21"/>
        </w:rPr>
      </w:pPr>
      <w:r>
        <w:rPr>
          <w:rFonts w:hint="eastAsia" w:ascii="宋体" w:hAnsi="宋体"/>
          <w:kern w:val="2"/>
          <w:szCs w:val="21"/>
        </w:rPr>
        <w:t>据此函，__________签字人兹宣布同意如下：</w:t>
      </w:r>
    </w:p>
    <w:p w14:paraId="00B4B2AB">
      <w:pPr>
        <w:pStyle w:val="20"/>
        <w:spacing w:before="0" w:after="0" w:line="300" w:lineRule="auto"/>
        <w:rPr>
          <w:rFonts w:ascii="宋体" w:hAnsi="宋体"/>
          <w:kern w:val="2"/>
          <w:szCs w:val="21"/>
        </w:rPr>
      </w:pPr>
      <w:r>
        <w:rPr>
          <w:rFonts w:hint="eastAsia" w:ascii="宋体" w:hAnsi="宋体"/>
          <w:kern w:val="2"/>
          <w:szCs w:val="21"/>
        </w:rPr>
        <w:t>1.按谈判采购文件规定的各项要求，向买方提供所需货物与服务。</w:t>
      </w:r>
    </w:p>
    <w:p w14:paraId="2F36EACB">
      <w:pPr>
        <w:pStyle w:val="20"/>
        <w:spacing w:before="0" w:after="0" w:line="300" w:lineRule="auto"/>
        <w:ind w:firstLineChars="200"/>
        <w:rPr>
          <w:rFonts w:ascii="宋体" w:hAnsi="宋体"/>
          <w:kern w:val="2"/>
          <w:szCs w:val="21"/>
        </w:rPr>
      </w:pPr>
      <w:r>
        <w:rPr>
          <w:rFonts w:hint="eastAsia" w:ascii="宋体" w:hAnsi="宋体"/>
          <w:kern w:val="2"/>
          <w:szCs w:val="21"/>
        </w:rPr>
        <w:t>2.我们已详细审核全部谈判采购文件及其有效补充文件，我们知道必须放弃提出含糊不清或误解问题的权利。</w:t>
      </w:r>
    </w:p>
    <w:p w14:paraId="68DA28B7">
      <w:pPr>
        <w:pStyle w:val="20"/>
        <w:spacing w:line="300" w:lineRule="auto"/>
        <w:rPr>
          <w:rFonts w:ascii="宋体" w:hAnsi="宋体"/>
        </w:rPr>
      </w:pPr>
      <w:r>
        <w:rPr>
          <w:rFonts w:hint="eastAsia" w:ascii="宋体" w:hAnsi="宋体"/>
          <w:kern w:val="2"/>
          <w:szCs w:val="21"/>
        </w:rPr>
        <w:t>3.</w:t>
      </w:r>
      <w:r>
        <w:rPr>
          <w:rFonts w:hint="eastAsia" w:ascii="宋体" w:hAnsi="宋体"/>
        </w:rPr>
        <w:t xml:space="preserve"> 本报价文件的有效期为从报价截止日期起计算的</w:t>
      </w:r>
      <w:r>
        <w:rPr>
          <w:rFonts w:ascii="宋体" w:hAnsi="宋体"/>
          <w:u w:val="single"/>
        </w:rPr>
        <w:t>90</w:t>
      </w:r>
      <w:r>
        <w:rPr>
          <w:rFonts w:hint="eastAsia" w:ascii="宋体" w:hAnsi="宋体"/>
        </w:rPr>
        <w:t>日,在此期间,本报价文件将始终对我们具有约束力,并可随时被接受。如果我们成交,本报价文件在此期间之后将继续保持有效。</w:t>
      </w:r>
      <w:r>
        <w:rPr>
          <w:rFonts w:ascii="宋体" w:hAnsi="宋体"/>
        </w:rPr>
        <w:t>一旦我方成交，我方将根据</w:t>
      </w:r>
      <w:r>
        <w:rPr>
          <w:rFonts w:hint="eastAsia" w:ascii="宋体" w:hAnsi="宋体"/>
        </w:rPr>
        <w:t>采购</w:t>
      </w:r>
      <w:r>
        <w:rPr>
          <w:rFonts w:ascii="宋体" w:hAnsi="宋体"/>
        </w:rPr>
        <w:t>文件的规定，严格履行合同，保证于承诺的时间内完成货物的启动、调试等服务，并交付采购人验收、使用。</w:t>
      </w:r>
    </w:p>
    <w:p w14:paraId="1458D7F3">
      <w:pPr>
        <w:pStyle w:val="20"/>
        <w:spacing w:before="0" w:after="0" w:line="300" w:lineRule="auto"/>
        <w:rPr>
          <w:rFonts w:ascii="宋体" w:hAnsi="宋体"/>
          <w:kern w:val="2"/>
          <w:szCs w:val="21"/>
        </w:rPr>
      </w:pPr>
      <w:r>
        <w:rPr>
          <w:rFonts w:hint="eastAsia" w:ascii="宋体" w:hAnsi="宋体"/>
          <w:kern w:val="2"/>
          <w:szCs w:val="21"/>
        </w:rPr>
        <w:t>4.如果在单一来源谈判开始时间后规定的单一来源谈判有效期内撤回单一来源谈判响应文件或成交后拒绝签订合同，我们的单一来源谈判保证金可被贵方没收。</w:t>
      </w:r>
    </w:p>
    <w:p w14:paraId="2F6150CE">
      <w:pPr>
        <w:pStyle w:val="20"/>
        <w:spacing w:before="0" w:after="0" w:line="300" w:lineRule="auto"/>
        <w:rPr>
          <w:rFonts w:ascii="宋体" w:hAnsi="宋体"/>
          <w:kern w:val="2"/>
          <w:szCs w:val="21"/>
        </w:rPr>
      </w:pPr>
      <w:r>
        <w:rPr>
          <w:rFonts w:hint="eastAsia" w:ascii="宋体" w:hAnsi="宋体"/>
          <w:kern w:val="2"/>
          <w:szCs w:val="21"/>
        </w:rPr>
        <w:t>5.同意向贵方提供贵方可能另外要求的与单一来源谈判采购有关的任何证据或资料，并保证我方已提供和将要提供的文件是真实的、准确的。</w:t>
      </w:r>
    </w:p>
    <w:p w14:paraId="4365CC46">
      <w:pPr>
        <w:pStyle w:val="20"/>
        <w:spacing w:before="0" w:after="0" w:line="300" w:lineRule="auto"/>
        <w:rPr>
          <w:rFonts w:ascii="宋体" w:hAnsi="宋体"/>
          <w:kern w:val="2"/>
          <w:szCs w:val="21"/>
        </w:rPr>
      </w:pPr>
      <w:r>
        <w:rPr>
          <w:rFonts w:hint="eastAsia" w:ascii="宋体" w:hAnsi="宋体"/>
          <w:kern w:val="2"/>
          <w:szCs w:val="21"/>
        </w:rPr>
        <w:t>6.一旦我方成交,我方将根据谈判采购文件的规定，严格履行合同的责任和义务,并保证在谈判采购文件规定的时间完成项目，交付买方验收、使用。</w:t>
      </w:r>
    </w:p>
    <w:p w14:paraId="335A6050">
      <w:pPr>
        <w:pStyle w:val="20"/>
        <w:spacing w:before="0" w:after="0" w:line="300" w:lineRule="auto"/>
        <w:ind w:left="425" w:firstLine="0"/>
        <w:rPr>
          <w:rFonts w:ascii="宋体" w:hAnsi="宋体"/>
          <w:kern w:val="2"/>
          <w:szCs w:val="21"/>
        </w:rPr>
      </w:pPr>
      <w:r>
        <w:rPr>
          <w:rFonts w:hint="eastAsia" w:ascii="宋体" w:hAnsi="宋体"/>
          <w:kern w:val="2"/>
          <w:szCs w:val="21"/>
        </w:rPr>
        <w:t>7.遵守谈判采购文件中要求的收费项目和标准。</w:t>
      </w:r>
    </w:p>
    <w:p w14:paraId="2D2DB076">
      <w:pPr>
        <w:pStyle w:val="20"/>
        <w:spacing w:before="0" w:after="0" w:line="300" w:lineRule="auto"/>
        <w:ind w:left="425" w:firstLine="0"/>
        <w:rPr>
          <w:rFonts w:ascii="宋体" w:hAnsi="宋体"/>
          <w:kern w:val="2"/>
          <w:szCs w:val="21"/>
        </w:rPr>
      </w:pPr>
      <w:r>
        <w:rPr>
          <w:rFonts w:hint="eastAsia" w:ascii="宋体" w:hAnsi="宋体"/>
          <w:kern w:val="2"/>
          <w:szCs w:val="21"/>
        </w:rPr>
        <w:t>8.与本单一来源谈判采购有关的正式通讯地址为：</w:t>
      </w:r>
    </w:p>
    <w:p w14:paraId="4CD758B6">
      <w:pPr>
        <w:pStyle w:val="20"/>
        <w:spacing w:before="0" w:after="0" w:line="300" w:lineRule="auto"/>
        <w:ind w:left="420" w:leftChars="200" w:firstLineChars="200"/>
        <w:rPr>
          <w:rFonts w:ascii="宋体" w:hAnsi="宋体"/>
          <w:kern w:val="2"/>
          <w:szCs w:val="21"/>
        </w:rPr>
      </w:pPr>
      <w:r>
        <w:rPr>
          <w:rFonts w:hint="eastAsia" w:ascii="宋体" w:hAnsi="宋体"/>
          <w:kern w:val="2"/>
          <w:szCs w:val="21"/>
        </w:rPr>
        <w:t>地          址：</w:t>
      </w:r>
    </w:p>
    <w:p w14:paraId="7C7320A5">
      <w:pPr>
        <w:pStyle w:val="20"/>
        <w:spacing w:before="0" w:after="0" w:line="300" w:lineRule="auto"/>
        <w:ind w:left="420" w:leftChars="200" w:firstLineChars="200"/>
        <w:rPr>
          <w:rFonts w:ascii="宋体" w:hAnsi="宋体"/>
          <w:kern w:val="2"/>
          <w:szCs w:val="21"/>
        </w:rPr>
      </w:pPr>
      <w:r>
        <w:rPr>
          <w:rFonts w:hint="eastAsia" w:ascii="宋体" w:hAnsi="宋体"/>
          <w:kern w:val="2"/>
          <w:szCs w:val="21"/>
        </w:rPr>
        <w:t>邮          编：</w:t>
      </w:r>
    </w:p>
    <w:p w14:paraId="67B854AC">
      <w:pPr>
        <w:pStyle w:val="20"/>
        <w:spacing w:before="0" w:after="0" w:line="300" w:lineRule="auto"/>
        <w:ind w:left="420" w:leftChars="200" w:firstLineChars="200"/>
        <w:rPr>
          <w:rFonts w:ascii="宋体" w:hAnsi="宋体"/>
          <w:kern w:val="2"/>
          <w:szCs w:val="21"/>
        </w:rPr>
      </w:pPr>
      <w:r>
        <w:rPr>
          <w:rFonts w:hint="eastAsia" w:ascii="宋体" w:hAnsi="宋体"/>
          <w:kern w:val="2"/>
          <w:szCs w:val="21"/>
        </w:rPr>
        <w:t>电          话：</w:t>
      </w:r>
    </w:p>
    <w:p w14:paraId="259538B5">
      <w:pPr>
        <w:pStyle w:val="20"/>
        <w:spacing w:before="0" w:after="0" w:line="300" w:lineRule="auto"/>
        <w:ind w:left="420" w:leftChars="200" w:firstLineChars="200"/>
        <w:rPr>
          <w:rFonts w:ascii="宋体" w:hAnsi="宋体"/>
          <w:kern w:val="2"/>
          <w:szCs w:val="21"/>
        </w:rPr>
      </w:pPr>
      <w:r>
        <w:rPr>
          <w:rFonts w:hint="eastAsia" w:ascii="宋体" w:hAnsi="宋体"/>
          <w:kern w:val="2"/>
          <w:szCs w:val="21"/>
        </w:rPr>
        <w:t>传          真：</w:t>
      </w:r>
    </w:p>
    <w:p w14:paraId="68AD32A5">
      <w:pPr>
        <w:pStyle w:val="20"/>
        <w:spacing w:before="0" w:after="0" w:line="300" w:lineRule="auto"/>
        <w:ind w:left="420" w:leftChars="200" w:firstLineChars="200"/>
        <w:rPr>
          <w:rFonts w:ascii="宋体" w:hAnsi="宋体"/>
          <w:kern w:val="2"/>
          <w:szCs w:val="21"/>
        </w:rPr>
      </w:pPr>
      <w:r>
        <w:rPr>
          <w:rFonts w:hint="eastAsia" w:ascii="宋体" w:hAnsi="宋体"/>
          <w:kern w:val="2"/>
          <w:szCs w:val="21"/>
        </w:rPr>
        <w:t>供应商开户行：</w:t>
      </w:r>
    </w:p>
    <w:p w14:paraId="577CDB4D">
      <w:pPr>
        <w:pStyle w:val="20"/>
        <w:spacing w:before="0" w:after="0" w:line="300" w:lineRule="auto"/>
        <w:ind w:left="420" w:leftChars="200" w:firstLineChars="200"/>
        <w:rPr>
          <w:rFonts w:ascii="宋体" w:hAnsi="宋体"/>
          <w:kern w:val="2"/>
          <w:szCs w:val="21"/>
        </w:rPr>
      </w:pPr>
      <w:r>
        <w:rPr>
          <w:rFonts w:hint="eastAsia" w:ascii="宋体" w:hAnsi="宋体"/>
          <w:kern w:val="2"/>
          <w:szCs w:val="21"/>
        </w:rPr>
        <w:t xml:space="preserve">账          户： </w:t>
      </w:r>
    </w:p>
    <w:p w14:paraId="6BF6005F">
      <w:pPr>
        <w:pStyle w:val="20"/>
        <w:spacing w:before="0" w:after="0" w:line="300" w:lineRule="auto"/>
        <w:ind w:left="420" w:leftChars="200" w:firstLineChars="200"/>
        <w:rPr>
          <w:u w:val="single"/>
        </w:rPr>
      </w:pPr>
      <w:r>
        <w:rPr>
          <w:rFonts w:hint="eastAsia"/>
        </w:rPr>
        <w:t>供应商名称：</w:t>
      </w:r>
      <w:r>
        <w:rPr>
          <w:rFonts w:hint="eastAsia"/>
          <w:u w:val="single"/>
        </w:rPr>
        <w:t xml:space="preserve"> </w:t>
      </w:r>
      <w:r>
        <w:rPr>
          <w:u w:val="single"/>
        </w:rPr>
        <w:t xml:space="preserve">                    </w:t>
      </w:r>
    </w:p>
    <w:p w14:paraId="57792FD3">
      <w:pPr>
        <w:pStyle w:val="20"/>
        <w:spacing w:before="0" w:after="0" w:line="300" w:lineRule="auto"/>
        <w:ind w:left="420" w:leftChars="200" w:firstLineChars="200"/>
        <w:rPr>
          <w:rFonts w:ascii="宋体" w:hAnsi="宋体"/>
          <w:kern w:val="2"/>
          <w:szCs w:val="21"/>
        </w:rPr>
      </w:pPr>
      <w:r>
        <w:rPr>
          <w:rFonts w:hint="eastAsia" w:ascii="宋体" w:hAnsi="宋体"/>
          <w:kern w:val="2"/>
          <w:szCs w:val="21"/>
        </w:rPr>
        <w:t>日           期：________年____月____日</w:t>
      </w:r>
    </w:p>
    <w:p w14:paraId="5F2CA078">
      <w:pPr>
        <w:keepNext/>
        <w:keepLines/>
        <w:spacing w:before="260" w:after="260" w:line="360" w:lineRule="auto"/>
        <w:jc w:val="left"/>
        <w:outlineLvl w:val="1"/>
        <w:rPr>
          <w:rFonts w:ascii="宋体"/>
          <w:sz w:val="24"/>
          <w:szCs w:val="24"/>
        </w:rPr>
      </w:pPr>
      <w:r>
        <w:rPr>
          <w:rFonts w:hint="eastAsia" w:ascii="宋体"/>
          <w:sz w:val="24"/>
          <w:szCs w:val="24"/>
        </w:rPr>
        <w:t xml:space="preserve"> </w:t>
      </w:r>
      <w:r>
        <w:rPr>
          <w:rFonts w:ascii="宋体"/>
          <w:sz w:val="24"/>
          <w:szCs w:val="24"/>
        </w:rPr>
        <w:t xml:space="preserve">                     </w:t>
      </w:r>
    </w:p>
    <w:p w14:paraId="4E150E3C">
      <w:pPr>
        <w:spacing w:line="360" w:lineRule="auto"/>
        <w:rPr>
          <w:sz w:val="24"/>
          <w:szCs w:val="24"/>
        </w:rPr>
      </w:pPr>
      <w:r>
        <w:rPr>
          <w:rFonts w:ascii="黑体" w:hAnsi="黑体" w:eastAsia="黑体"/>
          <w:b/>
          <w:sz w:val="32"/>
          <w:szCs w:val="32"/>
        </w:rPr>
        <w:br w:type="page"/>
      </w:r>
      <w:r>
        <w:rPr>
          <w:rFonts w:hint="eastAsia"/>
          <w:sz w:val="24"/>
          <w:szCs w:val="24"/>
        </w:rPr>
        <w:t xml:space="preserve">格式二： </w:t>
      </w:r>
      <w:r>
        <w:rPr>
          <w:sz w:val="24"/>
          <w:szCs w:val="24"/>
        </w:rPr>
        <w:t xml:space="preserve"> </w:t>
      </w:r>
    </w:p>
    <w:p w14:paraId="18CFEA31">
      <w:pPr>
        <w:spacing w:line="360" w:lineRule="auto"/>
        <w:jc w:val="center"/>
        <w:rPr>
          <w:rFonts w:ascii="黑体" w:hAnsi="黑体" w:eastAsia="黑体"/>
          <w:b/>
          <w:sz w:val="24"/>
          <w:szCs w:val="24"/>
        </w:rPr>
      </w:pPr>
      <w:r>
        <w:rPr>
          <w:rFonts w:hint="eastAsia" w:ascii="黑体" w:hAnsi="黑体" w:eastAsia="黑体"/>
          <w:b/>
          <w:sz w:val="24"/>
          <w:szCs w:val="24"/>
        </w:rPr>
        <w:t>报价一览表</w:t>
      </w:r>
    </w:p>
    <w:p w14:paraId="7B581DD5">
      <w:pPr>
        <w:spacing w:line="360" w:lineRule="auto"/>
        <w:ind w:firstLine="473"/>
        <w:rPr>
          <w:rFonts w:ascii="宋体" w:hAnsi="宋体"/>
          <w:kern w:val="0"/>
          <w:sz w:val="24"/>
          <w:szCs w:val="24"/>
        </w:rPr>
      </w:pPr>
      <w:r>
        <w:rPr>
          <w:rFonts w:ascii="宋体" w:hAnsi="宋体"/>
          <w:kern w:val="0"/>
          <w:sz w:val="24"/>
          <w:szCs w:val="24"/>
        </w:rPr>
        <w:t>项目名称：</w:t>
      </w:r>
    </w:p>
    <w:p w14:paraId="7E7D71E1">
      <w:pPr>
        <w:spacing w:line="360" w:lineRule="auto"/>
        <w:ind w:firstLine="473"/>
        <w:rPr>
          <w:rFonts w:ascii="宋体" w:hAnsi="宋体"/>
          <w:kern w:val="0"/>
          <w:sz w:val="24"/>
          <w:szCs w:val="24"/>
        </w:rPr>
      </w:pPr>
      <w:r>
        <w:rPr>
          <w:rFonts w:ascii="宋体" w:hAnsi="宋体"/>
          <w:kern w:val="0"/>
          <w:sz w:val="24"/>
          <w:szCs w:val="24"/>
        </w:rPr>
        <w:t>项目编号：</w:t>
      </w:r>
      <w:r>
        <w:rPr>
          <w:rFonts w:hint="eastAsia" w:ascii="宋体" w:hAnsi="宋体"/>
          <w:kern w:val="0"/>
          <w:sz w:val="24"/>
          <w:szCs w:val="24"/>
        </w:rPr>
        <w:t xml:space="preserve">                                  包号：</w:t>
      </w:r>
    </w:p>
    <w:tbl>
      <w:tblPr>
        <w:tblStyle w:val="14"/>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06F0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2D86CE88">
            <w:pPr>
              <w:spacing w:line="360" w:lineRule="auto"/>
              <w:rPr>
                <w:rFonts w:ascii="宋体" w:hAnsi="宋体"/>
                <w:kern w:val="0"/>
                <w:sz w:val="24"/>
                <w:szCs w:val="24"/>
              </w:rPr>
            </w:pPr>
            <w:r>
              <w:rPr>
                <w:rFonts w:ascii="宋体" w:hAnsi="宋体"/>
                <w:kern w:val="0"/>
                <w:sz w:val="24"/>
                <w:szCs w:val="24"/>
              </w:rPr>
              <w:t>投标总价</w:t>
            </w:r>
          </w:p>
        </w:tc>
        <w:tc>
          <w:tcPr>
            <w:tcW w:w="968" w:type="dxa"/>
            <w:vAlign w:val="center"/>
          </w:tcPr>
          <w:p w14:paraId="27AE12BF">
            <w:pPr>
              <w:spacing w:line="360" w:lineRule="auto"/>
              <w:rPr>
                <w:rFonts w:ascii="宋体" w:hAnsi="宋体"/>
                <w:kern w:val="0"/>
                <w:sz w:val="24"/>
                <w:szCs w:val="24"/>
              </w:rPr>
            </w:pPr>
            <w:r>
              <w:rPr>
                <w:rFonts w:ascii="宋体" w:hAnsi="宋体"/>
                <w:kern w:val="0"/>
                <w:sz w:val="24"/>
                <w:szCs w:val="24"/>
              </w:rPr>
              <w:t>合计</w:t>
            </w:r>
          </w:p>
        </w:tc>
        <w:tc>
          <w:tcPr>
            <w:tcW w:w="5802" w:type="dxa"/>
            <w:gridSpan w:val="2"/>
            <w:vAlign w:val="center"/>
          </w:tcPr>
          <w:p w14:paraId="5C11ECF8">
            <w:pPr>
              <w:spacing w:line="360" w:lineRule="auto"/>
              <w:rPr>
                <w:rFonts w:ascii="宋体" w:hAnsi="宋体"/>
                <w:kern w:val="0"/>
                <w:sz w:val="24"/>
                <w:szCs w:val="24"/>
              </w:rPr>
            </w:pPr>
            <w:r>
              <w:rPr>
                <w:rFonts w:ascii="宋体" w:hAnsi="宋体"/>
                <w:kern w:val="0"/>
                <w:sz w:val="24"/>
                <w:szCs w:val="24"/>
              </w:rPr>
              <w:t>小写：</w:t>
            </w:r>
            <w:r>
              <w:rPr>
                <w:rFonts w:hint="eastAsia" w:ascii="宋体" w:hAnsi="宋体"/>
                <w:kern w:val="0"/>
                <w:sz w:val="24"/>
                <w:szCs w:val="24"/>
              </w:rPr>
              <w:t xml:space="preserve">      </w:t>
            </w:r>
            <w:r>
              <w:rPr>
                <w:rFonts w:ascii="宋体" w:hAnsi="宋体"/>
                <w:bCs/>
                <w:kern w:val="0"/>
                <w:sz w:val="24"/>
                <w:szCs w:val="24"/>
              </w:rPr>
              <w:t>元</w:t>
            </w:r>
            <w:r>
              <w:rPr>
                <w:rFonts w:hint="eastAsia" w:ascii="宋体" w:hAnsi="宋体"/>
                <w:bCs/>
                <w:kern w:val="0"/>
                <w:sz w:val="24"/>
                <w:szCs w:val="24"/>
              </w:rPr>
              <w:t>/年</w:t>
            </w:r>
          </w:p>
          <w:p w14:paraId="36BCE027">
            <w:pPr>
              <w:spacing w:line="360" w:lineRule="auto"/>
              <w:rPr>
                <w:rFonts w:ascii="宋体" w:hAnsi="宋体"/>
                <w:kern w:val="0"/>
                <w:sz w:val="24"/>
                <w:szCs w:val="24"/>
              </w:rPr>
            </w:pPr>
            <w:r>
              <w:rPr>
                <w:rFonts w:ascii="宋体" w:hAnsi="宋体"/>
                <w:kern w:val="0"/>
                <w:sz w:val="24"/>
                <w:szCs w:val="24"/>
              </w:rPr>
              <w:t>大写：人民币  元整</w:t>
            </w:r>
            <w:r>
              <w:rPr>
                <w:rFonts w:hint="eastAsia" w:ascii="宋体" w:hAnsi="宋体"/>
                <w:kern w:val="0"/>
                <w:sz w:val="24"/>
                <w:szCs w:val="24"/>
              </w:rPr>
              <w:t>/年</w:t>
            </w:r>
          </w:p>
        </w:tc>
      </w:tr>
      <w:tr w14:paraId="4839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0" w:type="dxa"/>
            <w:vAlign w:val="center"/>
          </w:tcPr>
          <w:p w14:paraId="42518F83">
            <w:pPr>
              <w:spacing w:line="360" w:lineRule="auto"/>
              <w:rPr>
                <w:rFonts w:ascii="宋体" w:hAnsi="宋体"/>
                <w:kern w:val="0"/>
                <w:sz w:val="24"/>
                <w:szCs w:val="24"/>
              </w:rPr>
            </w:pPr>
            <w:r>
              <w:rPr>
                <w:rFonts w:ascii="宋体" w:hAnsi="宋体"/>
                <w:kern w:val="0"/>
                <w:sz w:val="24"/>
                <w:szCs w:val="24"/>
              </w:rPr>
              <w:t>服务时间</w:t>
            </w:r>
          </w:p>
        </w:tc>
        <w:tc>
          <w:tcPr>
            <w:tcW w:w="5131" w:type="dxa"/>
            <w:gridSpan w:val="2"/>
            <w:vAlign w:val="center"/>
          </w:tcPr>
          <w:p w14:paraId="4DFB6A75">
            <w:pPr>
              <w:spacing w:line="360" w:lineRule="auto"/>
              <w:ind w:firstLine="480" w:firstLineChars="200"/>
              <w:rPr>
                <w:rFonts w:ascii="宋体" w:hAnsi="宋体"/>
                <w:kern w:val="0"/>
                <w:sz w:val="24"/>
                <w:szCs w:val="24"/>
                <w:u w:val="single"/>
              </w:rPr>
            </w:pPr>
            <w:r>
              <w:rPr>
                <w:rFonts w:hint="eastAsia" w:ascii="宋体" w:hAnsi="宋体"/>
                <w:kern w:val="0"/>
                <w:sz w:val="24"/>
                <w:szCs w:val="24"/>
              </w:rPr>
              <w:t>一招三年，合同一年一签</w:t>
            </w:r>
          </w:p>
        </w:tc>
        <w:tc>
          <w:tcPr>
            <w:tcW w:w="1639" w:type="dxa"/>
            <w:vAlign w:val="center"/>
          </w:tcPr>
          <w:p w14:paraId="412FEA7D">
            <w:pPr>
              <w:spacing w:line="360" w:lineRule="auto"/>
              <w:ind w:firstLine="473"/>
              <w:rPr>
                <w:rFonts w:ascii="宋体" w:hAnsi="宋体"/>
                <w:kern w:val="0"/>
                <w:sz w:val="24"/>
                <w:szCs w:val="24"/>
              </w:rPr>
            </w:pPr>
          </w:p>
          <w:p w14:paraId="66438B09">
            <w:pPr>
              <w:spacing w:line="360" w:lineRule="auto"/>
              <w:rPr>
                <w:rFonts w:ascii="宋体" w:hAnsi="宋体"/>
                <w:kern w:val="0"/>
                <w:sz w:val="24"/>
                <w:szCs w:val="24"/>
              </w:rPr>
            </w:pPr>
          </w:p>
        </w:tc>
      </w:tr>
      <w:tr w14:paraId="2165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697B21F2">
            <w:pPr>
              <w:spacing w:line="360" w:lineRule="auto"/>
              <w:rPr>
                <w:rFonts w:ascii="宋体" w:hAnsi="宋体"/>
                <w:kern w:val="0"/>
                <w:sz w:val="24"/>
                <w:szCs w:val="24"/>
              </w:rPr>
            </w:pPr>
            <w:r>
              <w:rPr>
                <w:rFonts w:hint="eastAsia" w:ascii="宋体" w:hAnsi="宋体"/>
                <w:kern w:val="0"/>
                <w:sz w:val="24"/>
                <w:szCs w:val="24"/>
              </w:rPr>
              <w:t>项目负责人及联系方式</w:t>
            </w:r>
          </w:p>
        </w:tc>
        <w:tc>
          <w:tcPr>
            <w:tcW w:w="5131" w:type="dxa"/>
            <w:gridSpan w:val="2"/>
            <w:vAlign w:val="center"/>
          </w:tcPr>
          <w:p w14:paraId="33D21ECD">
            <w:pPr>
              <w:tabs>
                <w:tab w:val="left" w:pos="3624"/>
              </w:tabs>
              <w:spacing w:line="360" w:lineRule="auto"/>
              <w:ind w:firstLine="473"/>
              <w:rPr>
                <w:rFonts w:ascii="宋体" w:hAnsi="宋体"/>
                <w:kern w:val="0"/>
                <w:sz w:val="24"/>
                <w:szCs w:val="24"/>
                <w:u w:val="single"/>
              </w:rPr>
            </w:pPr>
          </w:p>
        </w:tc>
        <w:tc>
          <w:tcPr>
            <w:tcW w:w="1639" w:type="dxa"/>
            <w:vAlign w:val="center"/>
          </w:tcPr>
          <w:p w14:paraId="1EF468CE">
            <w:pPr>
              <w:spacing w:line="360" w:lineRule="auto"/>
              <w:ind w:firstLine="473"/>
              <w:rPr>
                <w:rFonts w:ascii="宋体" w:hAnsi="宋体"/>
                <w:kern w:val="0"/>
                <w:sz w:val="24"/>
                <w:szCs w:val="24"/>
              </w:rPr>
            </w:pPr>
          </w:p>
        </w:tc>
      </w:tr>
    </w:tbl>
    <w:p w14:paraId="495A7452">
      <w:pPr>
        <w:widowControl/>
        <w:shd w:val="clear" w:color="auto" w:fill="FFFFFF"/>
        <w:spacing w:line="360" w:lineRule="auto"/>
        <w:jc w:val="left"/>
        <w:rPr>
          <w:rFonts w:ascii="宋体" w:hAnsi="宋体"/>
          <w:kern w:val="0"/>
          <w:sz w:val="24"/>
          <w:szCs w:val="24"/>
        </w:rPr>
      </w:pPr>
    </w:p>
    <w:p w14:paraId="2E2D3B31">
      <w:pPr>
        <w:widowControl/>
        <w:shd w:val="clear" w:color="auto" w:fill="FFFFFF"/>
        <w:spacing w:line="360" w:lineRule="auto"/>
        <w:jc w:val="left"/>
        <w:rPr>
          <w:rFonts w:ascii="宋体" w:hAnsi="宋体"/>
          <w:kern w:val="0"/>
          <w:sz w:val="24"/>
          <w:szCs w:val="24"/>
        </w:rPr>
      </w:pPr>
      <w:r>
        <w:rPr>
          <w:rFonts w:ascii="宋体" w:hAnsi="宋体"/>
          <w:kern w:val="0"/>
          <w:sz w:val="24"/>
          <w:szCs w:val="24"/>
        </w:rPr>
        <w:t>供应商</w:t>
      </w:r>
      <w:r>
        <w:rPr>
          <w:rFonts w:hint="eastAsia" w:ascii="宋体" w:hAnsi="宋体"/>
          <w:kern w:val="0"/>
          <w:sz w:val="24"/>
          <w:szCs w:val="24"/>
        </w:rPr>
        <w:t>名称</w:t>
      </w:r>
      <w:r>
        <w:rPr>
          <w:rFonts w:ascii="宋体" w:hAnsi="宋体"/>
          <w:kern w:val="0"/>
          <w:sz w:val="24"/>
          <w:szCs w:val="24"/>
        </w:rPr>
        <w:t>（盖章）:</w:t>
      </w:r>
      <w:r>
        <w:rPr>
          <w:rFonts w:ascii="宋体" w:hAnsi="宋体"/>
          <w:kern w:val="0"/>
          <w:sz w:val="24"/>
          <w:szCs w:val="24"/>
          <w:u w:val="single"/>
        </w:rPr>
        <w:t xml:space="preserve">            </w:t>
      </w:r>
    </w:p>
    <w:p w14:paraId="184492A2">
      <w:pPr>
        <w:widowControl/>
        <w:shd w:val="clear" w:color="auto" w:fill="FFFFFF"/>
        <w:spacing w:line="360" w:lineRule="auto"/>
        <w:jc w:val="left"/>
        <w:rPr>
          <w:rFonts w:ascii="宋体" w:hAnsi="宋体"/>
          <w:kern w:val="0"/>
          <w:sz w:val="24"/>
          <w:szCs w:val="24"/>
          <w:u w:val="single"/>
        </w:rPr>
      </w:pPr>
      <w:r>
        <w:rPr>
          <w:rFonts w:ascii="宋体" w:hAnsi="宋体"/>
          <w:kern w:val="0"/>
          <w:sz w:val="24"/>
          <w:szCs w:val="24"/>
        </w:rPr>
        <w:t>法定代表人或其授权代表（签字</w:t>
      </w:r>
      <w:r>
        <w:rPr>
          <w:rFonts w:hint="eastAsia" w:ascii="宋体" w:hAnsi="宋体"/>
          <w:kern w:val="0"/>
          <w:sz w:val="24"/>
          <w:szCs w:val="24"/>
        </w:rPr>
        <w:t>或签章</w:t>
      </w:r>
      <w:r>
        <w:rPr>
          <w:rFonts w:ascii="宋体" w:hAnsi="宋体"/>
          <w:kern w:val="0"/>
          <w:sz w:val="24"/>
          <w:szCs w:val="24"/>
        </w:rPr>
        <w:t>）：</w:t>
      </w:r>
      <w:r>
        <w:rPr>
          <w:rFonts w:ascii="宋体" w:hAnsi="宋体"/>
          <w:kern w:val="0"/>
          <w:sz w:val="24"/>
          <w:szCs w:val="24"/>
          <w:u w:val="single"/>
        </w:rPr>
        <w:t>          </w:t>
      </w:r>
    </w:p>
    <w:p w14:paraId="19B9FD70">
      <w:pPr>
        <w:widowControl/>
        <w:shd w:val="clear" w:color="auto" w:fill="FFFFFF"/>
        <w:spacing w:line="360" w:lineRule="auto"/>
        <w:jc w:val="left"/>
        <w:rPr>
          <w:rFonts w:ascii="宋体" w:hAnsi="宋体"/>
          <w:kern w:val="0"/>
          <w:sz w:val="24"/>
          <w:szCs w:val="24"/>
        </w:rPr>
      </w:pPr>
      <w:r>
        <w:rPr>
          <w:rFonts w:ascii="宋体" w:hAnsi="宋体"/>
          <w:kern w:val="0"/>
          <w:sz w:val="24"/>
          <w:szCs w:val="24"/>
        </w:rPr>
        <w:t>日期：年</w:t>
      </w:r>
      <w:r>
        <w:rPr>
          <w:rFonts w:hint="eastAsia" w:ascii="宋体" w:hAnsi="宋体"/>
          <w:kern w:val="0"/>
          <w:sz w:val="24"/>
          <w:szCs w:val="24"/>
        </w:rPr>
        <w:t xml:space="preserve"> </w:t>
      </w:r>
      <w:r>
        <w:rPr>
          <w:rFonts w:ascii="宋体" w:hAnsi="宋体"/>
          <w:kern w:val="0"/>
          <w:sz w:val="24"/>
          <w:szCs w:val="24"/>
        </w:rPr>
        <w:t>月</w:t>
      </w:r>
      <w:r>
        <w:rPr>
          <w:rFonts w:hint="eastAsia" w:ascii="宋体" w:hAnsi="宋体"/>
          <w:kern w:val="0"/>
          <w:sz w:val="24"/>
          <w:szCs w:val="24"/>
        </w:rPr>
        <w:t xml:space="preserve"> </w:t>
      </w:r>
      <w:r>
        <w:rPr>
          <w:rFonts w:ascii="宋体" w:hAnsi="宋体"/>
          <w:kern w:val="0"/>
          <w:sz w:val="24"/>
          <w:szCs w:val="24"/>
        </w:rPr>
        <w:t>日</w:t>
      </w:r>
    </w:p>
    <w:p w14:paraId="0F3C6817">
      <w:pPr>
        <w:widowControl/>
        <w:shd w:val="clear" w:color="auto" w:fill="FFFFFF"/>
        <w:spacing w:line="360" w:lineRule="auto"/>
        <w:jc w:val="left"/>
        <w:rPr>
          <w:rFonts w:ascii="宋体" w:hAnsi="宋体"/>
          <w:kern w:val="0"/>
          <w:sz w:val="24"/>
          <w:szCs w:val="24"/>
        </w:rPr>
      </w:pPr>
    </w:p>
    <w:p w14:paraId="1B71E8E3">
      <w:pPr>
        <w:widowControl/>
        <w:shd w:val="clear" w:color="auto" w:fill="FFFFFF"/>
        <w:spacing w:line="360" w:lineRule="auto"/>
        <w:jc w:val="left"/>
        <w:rPr>
          <w:rFonts w:ascii="宋体" w:hAnsi="宋体"/>
          <w:kern w:val="0"/>
          <w:sz w:val="24"/>
          <w:szCs w:val="24"/>
        </w:rPr>
      </w:pPr>
      <w:r>
        <w:rPr>
          <w:rFonts w:ascii="宋体" w:hAnsi="宋体"/>
          <w:kern w:val="0"/>
          <w:sz w:val="24"/>
          <w:szCs w:val="24"/>
        </w:rPr>
        <w:t>说明：</w:t>
      </w:r>
    </w:p>
    <w:p w14:paraId="7C001E95">
      <w:pPr>
        <w:spacing w:line="360" w:lineRule="auto"/>
        <w:ind w:firstLine="422"/>
        <w:rPr>
          <w:rFonts w:ascii="宋体" w:hAnsi="宋体"/>
          <w:b/>
          <w:bCs/>
          <w:kern w:val="0"/>
          <w:sz w:val="24"/>
          <w:szCs w:val="24"/>
        </w:rPr>
      </w:pPr>
      <w:r>
        <w:rPr>
          <w:rFonts w:ascii="宋体" w:hAnsi="宋体"/>
          <w:b/>
          <w:bCs/>
          <w:kern w:val="0"/>
          <w:sz w:val="24"/>
          <w:szCs w:val="24"/>
        </w:rPr>
        <w:t>1、本项目仅接受一个价格，不得填报有选择性报价方案。若有优惠条款须注明，但不得影响报价，影响产品整体功能。</w:t>
      </w:r>
    </w:p>
    <w:p w14:paraId="2BA23D54">
      <w:pPr>
        <w:tabs>
          <w:tab w:val="left" w:pos="1440"/>
        </w:tabs>
        <w:spacing w:line="360" w:lineRule="auto"/>
        <w:ind w:firstLine="420"/>
        <w:rPr>
          <w:rFonts w:ascii="宋体" w:hAnsi="宋体"/>
          <w:b/>
          <w:kern w:val="0"/>
          <w:sz w:val="24"/>
          <w:szCs w:val="24"/>
        </w:rPr>
      </w:pPr>
      <w:r>
        <w:rPr>
          <w:rFonts w:hint="eastAsia" w:ascii="宋体" w:hAnsi="宋体"/>
          <w:b/>
          <w:kern w:val="0"/>
          <w:sz w:val="24"/>
          <w:szCs w:val="24"/>
        </w:rPr>
        <w:t>2</w:t>
      </w:r>
      <w:r>
        <w:rPr>
          <w:rFonts w:ascii="宋体" w:hAnsi="宋体"/>
          <w:b/>
          <w:kern w:val="0"/>
          <w:sz w:val="24"/>
          <w:szCs w:val="24"/>
        </w:rPr>
        <w:t>、</w:t>
      </w:r>
      <w:r>
        <w:rPr>
          <w:rFonts w:hint="eastAsia" w:ascii="宋体" w:hAnsi="宋体"/>
          <w:b/>
          <w:kern w:val="0"/>
          <w:sz w:val="24"/>
          <w:szCs w:val="24"/>
        </w:rPr>
        <w:t>采购</w:t>
      </w:r>
      <w:r>
        <w:rPr>
          <w:rFonts w:ascii="宋体" w:hAnsi="宋体"/>
          <w:b/>
          <w:kern w:val="0"/>
          <w:sz w:val="24"/>
          <w:szCs w:val="24"/>
        </w:rPr>
        <w:t>小组</w:t>
      </w:r>
      <w:r>
        <w:rPr>
          <w:rFonts w:hint="eastAsia" w:ascii="宋体" w:hAnsi="宋体"/>
          <w:b/>
          <w:kern w:val="0"/>
          <w:sz w:val="24"/>
          <w:szCs w:val="24"/>
        </w:rPr>
        <w:t>可</w:t>
      </w:r>
      <w:r>
        <w:rPr>
          <w:rFonts w:ascii="宋体" w:hAnsi="宋体"/>
          <w:b/>
          <w:kern w:val="0"/>
          <w:sz w:val="24"/>
          <w:szCs w:val="24"/>
        </w:rPr>
        <w:t>要求供应商在规定时间内提交最后报价。</w:t>
      </w:r>
    </w:p>
    <w:p w14:paraId="0A179B75">
      <w:pPr>
        <w:spacing w:line="360" w:lineRule="auto"/>
        <w:jc w:val="center"/>
        <w:rPr>
          <w:rFonts w:ascii="宋体" w:hAnsi="宋体"/>
          <w:b/>
          <w:kern w:val="0"/>
          <w:sz w:val="24"/>
          <w:szCs w:val="24"/>
        </w:rPr>
      </w:pPr>
      <w:r>
        <w:rPr>
          <w:rFonts w:ascii="宋体" w:hAnsi="宋体"/>
          <w:b/>
          <w:kern w:val="0"/>
          <w:sz w:val="24"/>
          <w:szCs w:val="24"/>
        </w:rPr>
        <w:br w:type="page" w:clear="all"/>
      </w:r>
    </w:p>
    <w:p w14:paraId="46B3861C">
      <w:pPr>
        <w:spacing w:line="360" w:lineRule="auto"/>
        <w:rPr>
          <w:rFonts w:ascii="宋体" w:hAnsi="宋体" w:cs="宋体"/>
          <w:b/>
          <w:kern w:val="0"/>
          <w:sz w:val="24"/>
          <w:szCs w:val="24"/>
        </w:rPr>
      </w:pPr>
      <w:r>
        <w:rPr>
          <w:rFonts w:hint="eastAsia" w:ascii="宋体" w:hAnsi="宋体" w:cs="宋体"/>
          <w:b/>
          <w:kern w:val="0"/>
          <w:sz w:val="24"/>
          <w:szCs w:val="24"/>
        </w:rPr>
        <w:t>格式三</w:t>
      </w:r>
    </w:p>
    <w:p w14:paraId="702CB942">
      <w:pPr>
        <w:spacing w:line="360" w:lineRule="auto"/>
        <w:jc w:val="center"/>
        <w:rPr>
          <w:rFonts w:ascii="宋体" w:hAnsi="宋体" w:cs="宋体"/>
          <w:b/>
          <w:sz w:val="24"/>
          <w:szCs w:val="24"/>
        </w:rPr>
      </w:pPr>
      <w:r>
        <w:rPr>
          <w:rFonts w:hint="eastAsia" w:ascii="宋体" w:hAnsi="宋体" w:cs="宋体"/>
          <w:b/>
          <w:sz w:val="24"/>
          <w:szCs w:val="24"/>
        </w:rPr>
        <w:t>最后报价承诺书</w:t>
      </w:r>
    </w:p>
    <w:p w14:paraId="7ECC180D">
      <w:pPr>
        <w:spacing w:line="360" w:lineRule="auto"/>
        <w:ind w:firstLine="420"/>
        <w:jc w:val="center"/>
        <w:rPr>
          <w:rFonts w:ascii="宋体" w:hAnsi="宋体" w:cs="宋体"/>
          <w:kern w:val="0"/>
          <w:sz w:val="24"/>
          <w:szCs w:val="24"/>
        </w:rPr>
      </w:pPr>
      <w:r>
        <w:rPr>
          <w:rFonts w:hint="eastAsia" w:ascii="宋体" w:hAnsi="宋体" w:cs="宋体"/>
          <w:kern w:val="0"/>
          <w:sz w:val="24"/>
          <w:szCs w:val="24"/>
        </w:rPr>
        <w:t>(第____次报价书)</w:t>
      </w:r>
    </w:p>
    <w:p w14:paraId="76C3AD52">
      <w:pPr>
        <w:spacing w:line="360" w:lineRule="auto"/>
        <w:ind w:firstLine="420"/>
        <w:rPr>
          <w:rFonts w:ascii="宋体" w:hAnsi="宋体" w:cs="宋体"/>
          <w:kern w:val="0"/>
          <w:sz w:val="24"/>
          <w:szCs w:val="24"/>
        </w:rPr>
      </w:pPr>
      <w:r>
        <w:rPr>
          <w:rFonts w:hint="eastAsia" w:ascii="宋体" w:hAnsi="宋体" w:cs="宋体"/>
          <w:kern w:val="0"/>
          <w:sz w:val="24"/>
          <w:szCs w:val="24"/>
        </w:rPr>
        <w:t>项目名称：____________________</w:t>
      </w:r>
    </w:p>
    <w:p w14:paraId="4BDD13B5">
      <w:pPr>
        <w:spacing w:line="360" w:lineRule="auto"/>
        <w:ind w:firstLine="420"/>
        <w:rPr>
          <w:rFonts w:ascii="宋体" w:hAnsi="宋体" w:cs="宋体"/>
          <w:kern w:val="0"/>
          <w:sz w:val="24"/>
          <w:szCs w:val="24"/>
        </w:rPr>
      </w:pPr>
      <w:r>
        <w:rPr>
          <w:rFonts w:hint="eastAsia" w:ascii="宋体" w:hAnsi="宋体" w:cs="宋体"/>
          <w:kern w:val="0"/>
          <w:sz w:val="24"/>
          <w:szCs w:val="24"/>
        </w:rPr>
        <w:t>项目编号：____________________</w:t>
      </w:r>
    </w:p>
    <w:tbl>
      <w:tblPr>
        <w:tblStyle w:val="1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6236"/>
      </w:tblGrid>
      <w:tr w14:paraId="771C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4" w:type="dxa"/>
            <w:tcBorders>
              <w:top w:val="single" w:color="auto" w:sz="4" w:space="0"/>
              <w:left w:val="single" w:color="auto" w:sz="4" w:space="0"/>
              <w:bottom w:val="single" w:color="auto" w:sz="4" w:space="0"/>
              <w:right w:val="single" w:color="auto" w:sz="4" w:space="0"/>
            </w:tcBorders>
            <w:vAlign w:val="center"/>
          </w:tcPr>
          <w:p w14:paraId="7B49D666">
            <w:pPr>
              <w:spacing w:line="360" w:lineRule="auto"/>
              <w:jc w:val="center"/>
              <w:rPr>
                <w:rFonts w:ascii="宋体" w:hAnsi="宋体" w:cs="宋体"/>
                <w:kern w:val="0"/>
                <w:sz w:val="24"/>
                <w:szCs w:val="24"/>
              </w:rPr>
            </w:pPr>
          </w:p>
          <w:p w14:paraId="5AB30A7A">
            <w:pPr>
              <w:spacing w:line="360" w:lineRule="auto"/>
              <w:jc w:val="center"/>
              <w:rPr>
                <w:rFonts w:ascii="宋体" w:hAnsi="宋体" w:cs="宋体"/>
                <w:kern w:val="0"/>
                <w:sz w:val="24"/>
                <w:szCs w:val="24"/>
              </w:rPr>
            </w:pPr>
            <w:r>
              <w:rPr>
                <w:rFonts w:hint="eastAsia" w:ascii="宋体" w:hAnsi="宋体" w:cs="宋体"/>
                <w:kern w:val="0"/>
                <w:sz w:val="24"/>
                <w:szCs w:val="24"/>
              </w:rPr>
              <w:t>供应商名称</w:t>
            </w:r>
          </w:p>
          <w:p w14:paraId="21A5DB3D">
            <w:pPr>
              <w:spacing w:line="360" w:lineRule="auto"/>
              <w:jc w:val="center"/>
              <w:rPr>
                <w:rFonts w:ascii="宋体" w:hAnsi="宋体" w:cs="宋体"/>
                <w:kern w:val="0"/>
                <w:sz w:val="24"/>
                <w:szCs w:val="24"/>
              </w:rPr>
            </w:pPr>
          </w:p>
        </w:tc>
        <w:tc>
          <w:tcPr>
            <w:tcW w:w="6236" w:type="dxa"/>
            <w:tcBorders>
              <w:top w:val="single" w:color="auto" w:sz="4" w:space="0"/>
              <w:left w:val="single" w:color="auto" w:sz="4" w:space="0"/>
              <w:bottom w:val="single" w:color="auto" w:sz="4" w:space="0"/>
              <w:right w:val="single" w:color="auto" w:sz="4" w:space="0"/>
            </w:tcBorders>
            <w:vAlign w:val="center"/>
          </w:tcPr>
          <w:p w14:paraId="72D882BB">
            <w:pPr>
              <w:spacing w:line="360" w:lineRule="auto"/>
              <w:jc w:val="center"/>
              <w:rPr>
                <w:rFonts w:ascii="宋体" w:hAnsi="宋体" w:cs="宋体"/>
                <w:kern w:val="0"/>
                <w:sz w:val="24"/>
                <w:szCs w:val="24"/>
              </w:rPr>
            </w:pPr>
          </w:p>
        </w:tc>
      </w:tr>
      <w:tr w14:paraId="3CDA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114596EE">
            <w:pPr>
              <w:spacing w:line="360" w:lineRule="auto"/>
              <w:jc w:val="center"/>
              <w:rPr>
                <w:rFonts w:ascii="宋体" w:hAnsi="宋体" w:cs="宋体"/>
                <w:kern w:val="0"/>
                <w:sz w:val="24"/>
                <w:szCs w:val="24"/>
              </w:rPr>
            </w:pPr>
          </w:p>
          <w:p w14:paraId="35BBF0C5">
            <w:pPr>
              <w:spacing w:line="360" w:lineRule="auto"/>
              <w:jc w:val="center"/>
              <w:rPr>
                <w:rFonts w:ascii="宋体" w:hAnsi="宋体" w:cs="宋体"/>
                <w:kern w:val="0"/>
                <w:sz w:val="24"/>
                <w:szCs w:val="24"/>
              </w:rPr>
            </w:pPr>
            <w:r>
              <w:rPr>
                <w:rFonts w:hint="eastAsia" w:ascii="宋体" w:hAnsi="宋体" w:cs="宋体"/>
                <w:kern w:val="0"/>
                <w:sz w:val="24"/>
                <w:szCs w:val="24"/>
              </w:rPr>
              <w:t>最终报价</w:t>
            </w:r>
          </w:p>
          <w:p w14:paraId="061073E9">
            <w:pPr>
              <w:spacing w:line="360" w:lineRule="auto"/>
              <w:rPr>
                <w:rFonts w:ascii="宋体" w:hAnsi="宋体" w:cs="宋体"/>
                <w:kern w:val="0"/>
                <w:sz w:val="24"/>
                <w:szCs w:val="24"/>
              </w:rPr>
            </w:pPr>
          </w:p>
        </w:tc>
        <w:tc>
          <w:tcPr>
            <w:tcW w:w="6236" w:type="dxa"/>
            <w:tcBorders>
              <w:top w:val="single" w:color="auto" w:sz="4" w:space="0"/>
              <w:left w:val="single" w:color="auto" w:sz="4" w:space="0"/>
              <w:bottom w:val="single" w:color="auto" w:sz="4" w:space="0"/>
              <w:right w:val="single" w:color="auto" w:sz="4" w:space="0"/>
            </w:tcBorders>
            <w:vAlign w:val="center"/>
          </w:tcPr>
          <w:p w14:paraId="403B69EA">
            <w:pPr>
              <w:spacing w:line="360" w:lineRule="auto"/>
              <w:jc w:val="left"/>
              <w:rPr>
                <w:rFonts w:ascii="宋体" w:hAnsi="宋体" w:cs="宋体"/>
                <w:kern w:val="0"/>
                <w:sz w:val="24"/>
                <w:szCs w:val="24"/>
              </w:rPr>
            </w:pPr>
            <w:r>
              <w:rPr>
                <w:rFonts w:hint="eastAsia" w:ascii="宋体" w:hAnsi="宋体" w:cs="宋体"/>
                <w:kern w:val="0"/>
                <w:sz w:val="24"/>
                <w:szCs w:val="24"/>
              </w:rPr>
              <w:t>人民币大写：____________________</w:t>
            </w:r>
          </w:p>
          <w:p w14:paraId="425B1FA8">
            <w:pPr>
              <w:spacing w:line="360" w:lineRule="auto"/>
              <w:jc w:val="left"/>
              <w:rPr>
                <w:rFonts w:ascii="宋体" w:hAnsi="宋体" w:cs="宋体"/>
                <w:kern w:val="0"/>
                <w:sz w:val="24"/>
                <w:szCs w:val="24"/>
              </w:rPr>
            </w:pPr>
            <w:r>
              <w:rPr>
                <w:rFonts w:hint="eastAsia" w:ascii="宋体" w:hAnsi="宋体" w:cs="宋体"/>
                <w:kern w:val="0"/>
                <w:sz w:val="24"/>
                <w:szCs w:val="24"/>
              </w:rPr>
              <w:t>人民币小写：____________________</w:t>
            </w:r>
          </w:p>
        </w:tc>
      </w:tr>
      <w:tr w14:paraId="5CB1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jc w:val="center"/>
        </w:trPr>
        <w:tc>
          <w:tcPr>
            <w:tcW w:w="2374" w:type="dxa"/>
            <w:tcBorders>
              <w:top w:val="single" w:color="auto" w:sz="4" w:space="0"/>
              <w:left w:val="single" w:color="auto" w:sz="4" w:space="0"/>
              <w:bottom w:val="single" w:color="auto" w:sz="4" w:space="0"/>
              <w:right w:val="single" w:color="auto" w:sz="4" w:space="0"/>
            </w:tcBorders>
            <w:vAlign w:val="center"/>
          </w:tcPr>
          <w:p w14:paraId="1DF77A2F">
            <w:pPr>
              <w:spacing w:line="360" w:lineRule="auto"/>
              <w:rPr>
                <w:rFonts w:ascii="宋体" w:hAnsi="宋体" w:cs="宋体"/>
                <w:kern w:val="0"/>
                <w:sz w:val="24"/>
                <w:szCs w:val="24"/>
              </w:rPr>
            </w:pPr>
          </w:p>
          <w:p w14:paraId="3A172D9F">
            <w:pPr>
              <w:spacing w:line="360" w:lineRule="auto"/>
              <w:jc w:val="center"/>
              <w:rPr>
                <w:rFonts w:ascii="宋体" w:hAnsi="宋体" w:cs="宋体"/>
                <w:kern w:val="0"/>
                <w:sz w:val="24"/>
                <w:szCs w:val="24"/>
              </w:rPr>
            </w:pPr>
          </w:p>
          <w:p w14:paraId="263E10B8">
            <w:pPr>
              <w:spacing w:line="360" w:lineRule="auto"/>
              <w:jc w:val="center"/>
              <w:rPr>
                <w:rFonts w:ascii="宋体" w:hAnsi="宋体" w:cs="宋体"/>
                <w:kern w:val="0"/>
                <w:sz w:val="24"/>
                <w:szCs w:val="24"/>
              </w:rPr>
            </w:pPr>
            <w:r>
              <w:rPr>
                <w:rFonts w:hint="eastAsia" w:ascii="宋体" w:hAnsi="宋体" w:cs="宋体"/>
                <w:kern w:val="0"/>
                <w:sz w:val="24"/>
                <w:szCs w:val="24"/>
              </w:rPr>
              <w:t>承诺</w:t>
            </w:r>
          </w:p>
          <w:p w14:paraId="36142229">
            <w:pPr>
              <w:spacing w:line="360" w:lineRule="auto"/>
              <w:jc w:val="center"/>
              <w:rPr>
                <w:rFonts w:ascii="宋体" w:hAnsi="宋体" w:cs="宋体"/>
                <w:kern w:val="0"/>
                <w:sz w:val="24"/>
                <w:szCs w:val="24"/>
              </w:rPr>
            </w:pPr>
          </w:p>
          <w:p w14:paraId="3D6F4507">
            <w:pPr>
              <w:spacing w:line="360" w:lineRule="auto"/>
              <w:rPr>
                <w:rFonts w:ascii="宋体" w:hAnsi="宋体" w:cs="宋体"/>
                <w:kern w:val="0"/>
                <w:sz w:val="24"/>
                <w:szCs w:val="24"/>
              </w:rPr>
            </w:pPr>
          </w:p>
        </w:tc>
        <w:tc>
          <w:tcPr>
            <w:tcW w:w="6236" w:type="dxa"/>
            <w:tcBorders>
              <w:top w:val="single" w:color="auto" w:sz="4" w:space="0"/>
              <w:left w:val="single" w:color="auto" w:sz="4" w:space="0"/>
              <w:bottom w:val="single" w:color="auto" w:sz="4" w:space="0"/>
              <w:right w:val="single" w:color="auto" w:sz="4" w:space="0"/>
            </w:tcBorders>
            <w:vAlign w:val="center"/>
          </w:tcPr>
          <w:p w14:paraId="70B7F7FB">
            <w:pPr>
              <w:spacing w:line="360" w:lineRule="auto"/>
              <w:jc w:val="center"/>
              <w:rPr>
                <w:rFonts w:ascii="宋体" w:hAnsi="宋体" w:cs="宋体"/>
                <w:kern w:val="0"/>
                <w:sz w:val="24"/>
                <w:szCs w:val="24"/>
              </w:rPr>
            </w:pPr>
          </w:p>
        </w:tc>
      </w:tr>
    </w:tbl>
    <w:p w14:paraId="163A7219">
      <w:pPr>
        <w:spacing w:line="360" w:lineRule="auto"/>
        <w:ind w:firstLine="420"/>
        <w:jc w:val="right"/>
        <w:rPr>
          <w:rFonts w:ascii="宋体" w:hAnsi="宋体" w:cs="宋体"/>
          <w:kern w:val="0"/>
          <w:sz w:val="24"/>
          <w:szCs w:val="24"/>
        </w:rPr>
      </w:pPr>
      <w:r>
        <w:rPr>
          <w:rFonts w:hint="eastAsia" w:ascii="宋体" w:hAnsi="宋体" w:cs="宋体"/>
          <w:kern w:val="0"/>
          <w:sz w:val="24"/>
          <w:szCs w:val="24"/>
        </w:rPr>
        <w:t>供应商公章或授权代表签字或签章：</w:t>
      </w:r>
      <w:r>
        <w:rPr>
          <w:rFonts w:hint="eastAsia" w:ascii="宋体" w:hAnsi="宋体" w:cs="宋体"/>
          <w:kern w:val="0"/>
          <w:sz w:val="24"/>
          <w:szCs w:val="24"/>
        </w:rPr>
        <w:tab/>
      </w:r>
      <w:r>
        <w:rPr>
          <w:rFonts w:hint="eastAsia" w:ascii="宋体" w:hAnsi="宋体" w:cs="宋体"/>
          <w:kern w:val="0"/>
          <w:sz w:val="24"/>
          <w:szCs w:val="24"/>
        </w:rPr>
        <w:tab/>
      </w:r>
    </w:p>
    <w:p w14:paraId="5B37E1E0">
      <w:pPr>
        <w:spacing w:line="360" w:lineRule="auto"/>
        <w:ind w:firstLine="420"/>
        <w:jc w:val="right"/>
        <w:rPr>
          <w:rFonts w:ascii="宋体" w:hAnsi="宋体" w:cs="宋体"/>
          <w:kern w:val="0"/>
          <w:sz w:val="24"/>
          <w:szCs w:val="24"/>
        </w:rPr>
      </w:pPr>
      <w:r>
        <w:rPr>
          <w:rFonts w:hint="eastAsia" w:ascii="宋体" w:hAnsi="宋体" w:cs="宋体"/>
          <w:kern w:val="0"/>
          <w:sz w:val="24"/>
          <w:szCs w:val="24"/>
        </w:rPr>
        <w:t>年  月  日</w:t>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p>
    <w:p w14:paraId="09E14271">
      <w:pPr>
        <w:spacing w:line="360" w:lineRule="auto"/>
        <w:rPr>
          <w:rFonts w:ascii="宋体" w:hAnsi="宋体" w:cs="宋体"/>
          <w:b/>
          <w:sz w:val="24"/>
          <w:szCs w:val="24"/>
        </w:rPr>
      </w:pPr>
      <w:r>
        <w:rPr>
          <w:rFonts w:hint="eastAsia" w:ascii="宋体" w:hAnsi="宋体" w:cs="宋体"/>
          <w:kern w:val="0"/>
          <w:sz w:val="24"/>
          <w:szCs w:val="24"/>
        </w:rPr>
        <w:t>注：本页《最后报价承诺书》由供应商在谈判现场依谈判情况填写，请盖公章或签字后带至谈判现场备填</w:t>
      </w:r>
      <w:r>
        <w:rPr>
          <w:rFonts w:hint="eastAsia" w:ascii="宋体" w:hAnsi="宋体" w:cs="宋体"/>
          <w:b/>
          <w:bCs/>
          <w:kern w:val="0"/>
          <w:sz w:val="24"/>
          <w:szCs w:val="24"/>
        </w:rPr>
        <w:t>（不需装订在响应文件内）</w:t>
      </w:r>
      <w:r>
        <w:rPr>
          <w:rFonts w:hint="eastAsia" w:ascii="宋体" w:hAnsi="宋体" w:cs="宋体"/>
          <w:kern w:val="0"/>
          <w:sz w:val="24"/>
          <w:szCs w:val="24"/>
        </w:rPr>
        <w:t>。</w:t>
      </w:r>
      <w:r>
        <w:rPr>
          <w:rFonts w:hint="eastAsia" w:ascii="宋体" w:hAnsi="宋体" w:cs="宋体"/>
          <w:b/>
          <w:sz w:val="24"/>
          <w:szCs w:val="24"/>
        </w:rPr>
        <w:br w:type="page"/>
      </w:r>
      <w:r>
        <w:rPr>
          <w:rFonts w:hint="eastAsia" w:ascii="宋体" w:hAnsi="宋体" w:cs="宋体"/>
          <w:sz w:val="24"/>
          <w:szCs w:val="24"/>
        </w:rPr>
        <w:t>格式四：          （请根据《第四章 项目需求》填写此表）</w:t>
      </w:r>
    </w:p>
    <w:p w14:paraId="21BEAA64">
      <w:pPr>
        <w:spacing w:line="360" w:lineRule="auto"/>
        <w:jc w:val="center"/>
        <w:rPr>
          <w:rFonts w:ascii="宋体" w:hAnsi="宋体" w:cs="宋体"/>
          <w:b/>
          <w:sz w:val="24"/>
          <w:szCs w:val="24"/>
        </w:rPr>
      </w:pPr>
      <w:r>
        <w:rPr>
          <w:rFonts w:hint="eastAsia" w:ascii="宋体" w:hAnsi="宋体" w:cs="宋体"/>
          <w:b/>
          <w:sz w:val="24"/>
          <w:szCs w:val="24"/>
        </w:rPr>
        <w:t>服务要求响应及偏离表</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11B4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2A9B80CB">
            <w:pPr>
              <w:spacing w:line="360" w:lineRule="auto"/>
              <w:jc w:val="center"/>
              <w:rPr>
                <w:rFonts w:ascii="宋体" w:hAnsi="宋体" w:cs="宋体"/>
                <w:sz w:val="24"/>
                <w:szCs w:val="24"/>
              </w:rPr>
            </w:pPr>
            <w:r>
              <w:rPr>
                <w:rFonts w:hint="eastAsia" w:ascii="宋体" w:hAnsi="宋体" w:cs="宋体"/>
                <w:sz w:val="24"/>
                <w:szCs w:val="24"/>
              </w:rPr>
              <w:t>序号</w:t>
            </w:r>
          </w:p>
        </w:tc>
        <w:tc>
          <w:tcPr>
            <w:tcW w:w="3019" w:type="dxa"/>
            <w:vAlign w:val="center"/>
          </w:tcPr>
          <w:p w14:paraId="2AA8A3A5">
            <w:pPr>
              <w:spacing w:line="360" w:lineRule="auto"/>
              <w:jc w:val="center"/>
              <w:rPr>
                <w:rFonts w:ascii="宋体" w:hAnsi="宋体" w:cs="宋体"/>
                <w:sz w:val="24"/>
                <w:szCs w:val="24"/>
              </w:rPr>
            </w:pPr>
            <w:r>
              <w:rPr>
                <w:rFonts w:hint="eastAsia" w:ascii="宋体" w:hAnsi="宋体" w:cs="宋体"/>
                <w:sz w:val="24"/>
                <w:szCs w:val="24"/>
              </w:rPr>
              <w:t>谈判文件要求</w:t>
            </w:r>
          </w:p>
        </w:tc>
        <w:tc>
          <w:tcPr>
            <w:tcW w:w="2852" w:type="dxa"/>
            <w:vAlign w:val="center"/>
          </w:tcPr>
          <w:p w14:paraId="229AB7C0">
            <w:pPr>
              <w:spacing w:line="360" w:lineRule="auto"/>
              <w:jc w:val="center"/>
              <w:rPr>
                <w:rFonts w:ascii="宋体" w:hAnsi="宋体" w:cs="宋体"/>
                <w:sz w:val="24"/>
                <w:szCs w:val="24"/>
              </w:rPr>
            </w:pPr>
            <w:r>
              <w:rPr>
                <w:rFonts w:hint="eastAsia" w:ascii="宋体" w:hAnsi="宋体" w:cs="宋体"/>
                <w:sz w:val="24"/>
                <w:szCs w:val="24"/>
              </w:rPr>
              <w:t>供应商响应情况</w:t>
            </w:r>
          </w:p>
        </w:tc>
        <w:tc>
          <w:tcPr>
            <w:tcW w:w="1308" w:type="dxa"/>
            <w:vAlign w:val="center"/>
          </w:tcPr>
          <w:p w14:paraId="24880D2E">
            <w:pPr>
              <w:spacing w:line="360" w:lineRule="auto"/>
              <w:jc w:val="center"/>
              <w:rPr>
                <w:rFonts w:ascii="宋体" w:hAnsi="宋体" w:cs="宋体"/>
                <w:sz w:val="24"/>
                <w:szCs w:val="24"/>
              </w:rPr>
            </w:pPr>
            <w:r>
              <w:rPr>
                <w:rFonts w:hint="eastAsia" w:ascii="宋体" w:hAnsi="宋体" w:cs="宋体"/>
                <w:sz w:val="24"/>
                <w:szCs w:val="24"/>
              </w:rPr>
              <w:t>响应/偏离</w:t>
            </w:r>
          </w:p>
        </w:tc>
        <w:tc>
          <w:tcPr>
            <w:tcW w:w="1173" w:type="dxa"/>
            <w:vAlign w:val="center"/>
          </w:tcPr>
          <w:p w14:paraId="126E5BAE">
            <w:pPr>
              <w:spacing w:line="360" w:lineRule="auto"/>
              <w:jc w:val="center"/>
              <w:rPr>
                <w:rFonts w:ascii="宋体" w:hAnsi="宋体" w:cs="宋体"/>
                <w:sz w:val="24"/>
                <w:szCs w:val="24"/>
              </w:rPr>
            </w:pPr>
            <w:r>
              <w:rPr>
                <w:rFonts w:hint="eastAsia" w:ascii="宋体" w:hAnsi="宋体" w:cs="宋体"/>
                <w:sz w:val="24"/>
                <w:szCs w:val="24"/>
              </w:rPr>
              <w:t>证明</w:t>
            </w:r>
          </w:p>
          <w:p w14:paraId="2EBFDE01">
            <w:pPr>
              <w:spacing w:line="360" w:lineRule="auto"/>
              <w:jc w:val="center"/>
              <w:rPr>
                <w:rFonts w:ascii="宋体" w:hAnsi="宋体" w:cs="宋体"/>
                <w:sz w:val="24"/>
                <w:szCs w:val="24"/>
              </w:rPr>
            </w:pPr>
            <w:r>
              <w:rPr>
                <w:rFonts w:hint="eastAsia" w:ascii="宋体" w:hAnsi="宋体" w:cs="宋体"/>
                <w:sz w:val="24"/>
                <w:szCs w:val="24"/>
              </w:rPr>
              <w:t>材料</w:t>
            </w:r>
          </w:p>
        </w:tc>
      </w:tr>
      <w:tr w14:paraId="52F6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5A0E2DEC">
            <w:pPr>
              <w:spacing w:line="360" w:lineRule="auto"/>
              <w:jc w:val="center"/>
              <w:rPr>
                <w:rFonts w:ascii="宋体" w:hAnsi="宋体" w:cs="宋体"/>
                <w:sz w:val="24"/>
                <w:szCs w:val="24"/>
              </w:rPr>
            </w:pPr>
          </w:p>
        </w:tc>
        <w:tc>
          <w:tcPr>
            <w:tcW w:w="3019" w:type="dxa"/>
          </w:tcPr>
          <w:p w14:paraId="6D04AE8B">
            <w:pPr>
              <w:spacing w:line="360" w:lineRule="auto"/>
              <w:jc w:val="center"/>
              <w:rPr>
                <w:rFonts w:ascii="宋体" w:hAnsi="宋体" w:cs="宋体"/>
                <w:sz w:val="24"/>
                <w:szCs w:val="24"/>
              </w:rPr>
            </w:pPr>
          </w:p>
        </w:tc>
        <w:tc>
          <w:tcPr>
            <w:tcW w:w="2852" w:type="dxa"/>
          </w:tcPr>
          <w:p w14:paraId="67A8F557">
            <w:pPr>
              <w:spacing w:line="360" w:lineRule="auto"/>
              <w:jc w:val="center"/>
              <w:rPr>
                <w:rFonts w:ascii="宋体" w:hAnsi="宋体" w:cs="宋体"/>
                <w:sz w:val="24"/>
                <w:szCs w:val="24"/>
              </w:rPr>
            </w:pPr>
          </w:p>
        </w:tc>
        <w:tc>
          <w:tcPr>
            <w:tcW w:w="1308" w:type="dxa"/>
          </w:tcPr>
          <w:p w14:paraId="57D90BB5">
            <w:pPr>
              <w:spacing w:line="360" w:lineRule="auto"/>
              <w:jc w:val="center"/>
              <w:rPr>
                <w:rFonts w:ascii="宋体" w:hAnsi="宋体" w:cs="宋体"/>
                <w:sz w:val="24"/>
                <w:szCs w:val="24"/>
              </w:rPr>
            </w:pPr>
          </w:p>
        </w:tc>
        <w:tc>
          <w:tcPr>
            <w:tcW w:w="1173" w:type="dxa"/>
          </w:tcPr>
          <w:p w14:paraId="3CA2F752">
            <w:pPr>
              <w:spacing w:line="360" w:lineRule="auto"/>
              <w:jc w:val="center"/>
              <w:rPr>
                <w:rFonts w:ascii="宋体" w:hAnsi="宋体" w:cs="宋体"/>
                <w:sz w:val="24"/>
                <w:szCs w:val="24"/>
              </w:rPr>
            </w:pPr>
          </w:p>
        </w:tc>
      </w:tr>
      <w:tr w14:paraId="45FA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20CEC13">
            <w:pPr>
              <w:spacing w:line="360" w:lineRule="auto"/>
              <w:jc w:val="center"/>
              <w:rPr>
                <w:rFonts w:ascii="宋体" w:hAnsi="宋体" w:cs="宋体"/>
                <w:sz w:val="24"/>
                <w:szCs w:val="24"/>
              </w:rPr>
            </w:pPr>
          </w:p>
        </w:tc>
        <w:tc>
          <w:tcPr>
            <w:tcW w:w="3019" w:type="dxa"/>
          </w:tcPr>
          <w:p w14:paraId="24C98320">
            <w:pPr>
              <w:spacing w:line="360" w:lineRule="auto"/>
              <w:jc w:val="center"/>
              <w:rPr>
                <w:rFonts w:ascii="宋体" w:hAnsi="宋体" w:cs="宋体"/>
                <w:sz w:val="24"/>
                <w:szCs w:val="24"/>
              </w:rPr>
            </w:pPr>
          </w:p>
        </w:tc>
        <w:tc>
          <w:tcPr>
            <w:tcW w:w="2852" w:type="dxa"/>
          </w:tcPr>
          <w:p w14:paraId="61B81D84">
            <w:pPr>
              <w:spacing w:line="360" w:lineRule="auto"/>
              <w:jc w:val="center"/>
              <w:rPr>
                <w:rFonts w:ascii="宋体" w:hAnsi="宋体" w:cs="宋体"/>
                <w:sz w:val="24"/>
                <w:szCs w:val="24"/>
              </w:rPr>
            </w:pPr>
          </w:p>
        </w:tc>
        <w:tc>
          <w:tcPr>
            <w:tcW w:w="1308" w:type="dxa"/>
          </w:tcPr>
          <w:p w14:paraId="6F514850">
            <w:pPr>
              <w:spacing w:line="360" w:lineRule="auto"/>
              <w:jc w:val="center"/>
              <w:rPr>
                <w:rFonts w:ascii="宋体" w:hAnsi="宋体" w:cs="宋体"/>
                <w:sz w:val="24"/>
                <w:szCs w:val="24"/>
              </w:rPr>
            </w:pPr>
          </w:p>
        </w:tc>
        <w:tc>
          <w:tcPr>
            <w:tcW w:w="1173" w:type="dxa"/>
          </w:tcPr>
          <w:p w14:paraId="1C500C77">
            <w:pPr>
              <w:spacing w:line="360" w:lineRule="auto"/>
              <w:jc w:val="center"/>
              <w:rPr>
                <w:rFonts w:ascii="宋体" w:hAnsi="宋体" w:cs="宋体"/>
                <w:sz w:val="24"/>
                <w:szCs w:val="24"/>
              </w:rPr>
            </w:pPr>
          </w:p>
        </w:tc>
      </w:tr>
      <w:tr w14:paraId="60BE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48F61974">
            <w:pPr>
              <w:spacing w:line="360" w:lineRule="auto"/>
              <w:jc w:val="center"/>
              <w:rPr>
                <w:rFonts w:ascii="宋体" w:hAnsi="宋体" w:cs="宋体"/>
                <w:sz w:val="24"/>
                <w:szCs w:val="24"/>
              </w:rPr>
            </w:pPr>
          </w:p>
        </w:tc>
        <w:tc>
          <w:tcPr>
            <w:tcW w:w="3019" w:type="dxa"/>
          </w:tcPr>
          <w:p w14:paraId="243B62D1">
            <w:pPr>
              <w:spacing w:line="360" w:lineRule="auto"/>
              <w:jc w:val="center"/>
              <w:rPr>
                <w:rFonts w:ascii="宋体" w:hAnsi="宋体" w:cs="宋体"/>
                <w:sz w:val="24"/>
                <w:szCs w:val="24"/>
              </w:rPr>
            </w:pPr>
          </w:p>
        </w:tc>
        <w:tc>
          <w:tcPr>
            <w:tcW w:w="2852" w:type="dxa"/>
          </w:tcPr>
          <w:p w14:paraId="154AA014">
            <w:pPr>
              <w:spacing w:line="360" w:lineRule="auto"/>
              <w:jc w:val="center"/>
              <w:rPr>
                <w:rFonts w:ascii="宋体" w:hAnsi="宋体" w:cs="宋体"/>
                <w:sz w:val="24"/>
                <w:szCs w:val="24"/>
              </w:rPr>
            </w:pPr>
          </w:p>
        </w:tc>
        <w:tc>
          <w:tcPr>
            <w:tcW w:w="1308" w:type="dxa"/>
          </w:tcPr>
          <w:p w14:paraId="6AEBE2EC">
            <w:pPr>
              <w:spacing w:line="360" w:lineRule="auto"/>
              <w:jc w:val="center"/>
              <w:rPr>
                <w:rFonts w:ascii="宋体" w:hAnsi="宋体" w:cs="宋体"/>
                <w:sz w:val="24"/>
                <w:szCs w:val="24"/>
              </w:rPr>
            </w:pPr>
          </w:p>
        </w:tc>
        <w:tc>
          <w:tcPr>
            <w:tcW w:w="1173" w:type="dxa"/>
          </w:tcPr>
          <w:p w14:paraId="766D78C2">
            <w:pPr>
              <w:spacing w:line="360" w:lineRule="auto"/>
              <w:jc w:val="center"/>
              <w:rPr>
                <w:rFonts w:ascii="宋体" w:hAnsi="宋体" w:cs="宋体"/>
                <w:sz w:val="24"/>
                <w:szCs w:val="24"/>
              </w:rPr>
            </w:pPr>
          </w:p>
        </w:tc>
      </w:tr>
      <w:tr w14:paraId="392A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0C7034EE">
            <w:pPr>
              <w:spacing w:line="360" w:lineRule="auto"/>
              <w:jc w:val="center"/>
              <w:rPr>
                <w:rFonts w:ascii="宋体" w:hAnsi="宋体" w:cs="宋体"/>
                <w:sz w:val="24"/>
                <w:szCs w:val="24"/>
              </w:rPr>
            </w:pPr>
          </w:p>
        </w:tc>
        <w:tc>
          <w:tcPr>
            <w:tcW w:w="3019" w:type="dxa"/>
          </w:tcPr>
          <w:p w14:paraId="47AB392C">
            <w:pPr>
              <w:spacing w:line="360" w:lineRule="auto"/>
              <w:jc w:val="center"/>
              <w:rPr>
                <w:rFonts w:ascii="宋体" w:hAnsi="宋体" w:cs="宋体"/>
                <w:sz w:val="24"/>
                <w:szCs w:val="24"/>
              </w:rPr>
            </w:pPr>
          </w:p>
        </w:tc>
        <w:tc>
          <w:tcPr>
            <w:tcW w:w="2852" w:type="dxa"/>
          </w:tcPr>
          <w:p w14:paraId="0EBD14FE">
            <w:pPr>
              <w:spacing w:line="360" w:lineRule="auto"/>
              <w:jc w:val="center"/>
              <w:rPr>
                <w:rFonts w:ascii="宋体" w:hAnsi="宋体" w:cs="宋体"/>
                <w:sz w:val="24"/>
                <w:szCs w:val="24"/>
              </w:rPr>
            </w:pPr>
          </w:p>
        </w:tc>
        <w:tc>
          <w:tcPr>
            <w:tcW w:w="1308" w:type="dxa"/>
          </w:tcPr>
          <w:p w14:paraId="06DB1D1C">
            <w:pPr>
              <w:spacing w:line="360" w:lineRule="auto"/>
              <w:jc w:val="center"/>
              <w:rPr>
                <w:rFonts w:ascii="宋体" w:hAnsi="宋体" w:cs="宋体"/>
                <w:sz w:val="24"/>
                <w:szCs w:val="24"/>
              </w:rPr>
            </w:pPr>
          </w:p>
        </w:tc>
        <w:tc>
          <w:tcPr>
            <w:tcW w:w="1173" w:type="dxa"/>
          </w:tcPr>
          <w:p w14:paraId="1EF85D91">
            <w:pPr>
              <w:spacing w:line="360" w:lineRule="auto"/>
              <w:jc w:val="center"/>
              <w:rPr>
                <w:rFonts w:ascii="宋体" w:hAnsi="宋体" w:cs="宋体"/>
                <w:sz w:val="24"/>
                <w:szCs w:val="24"/>
              </w:rPr>
            </w:pPr>
          </w:p>
        </w:tc>
      </w:tr>
      <w:tr w14:paraId="1D80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5B7AC24">
            <w:pPr>
              <w:spacing w:line="360" w:lineRule="auto"/>
              <w:jc w:val="center"/>
              <w:rPr>
                <w:rFonts w:ascii="宋体" w:hAnsi="宋体" w:cs="宋体"/>
                <w:sz w:val="24"/>
                <w:szCs w:val="24"/>
              </w:rPr>
            </w:pPr>
          </w:p>
        </w:tc>
        <w:tc>
          <w:tcPr>
            <w:tcW w:w="3019" w:type="dxa"/>
          </w:tcPr>
          <w:p w14:paraId="1253A69D">
            <w:pPr>
              <w:spacing w:line="360" w:lineRule="auto"/>
              <w:jc w:val="center"/>
              <w:rPr>
                <w:rFonts w:ascii="宋体" w:hAnsi="宋体" w:cs="宋体"/>
                <w:sz w:val="24"/>
                <w:szCs w:val="24"/>
              </w:rPr>
            </w:pPr>
          </w:p>
        </w:tc>
        <w:tc>
          <w:tcPr>
            <w:tcW w:w="2852" w:type="dxa"/>
          </w:tcPr>
          <w:p w14:paraId="2E2B9E17">
            <w:pPr>
              <w:spacing w:line="360" w:lineRule="auto"/>
              <w:jc w:val="center"/>
              <w:rPr>
                <w:rFonts w:ascii="宋体" w:hAnsi="宋体" w:cs="宋体"/>
                <w:sz w:val="24"/>
                <w:szCs w:val="24"/>
              </w:rPr>
            </w:pPr>
          </w:p>
        </w:tc>
        <w:tc>
          <w:tcPr>
            <w:tcW w:w="1308" w:type="dxa"/>
          </w:tcPr>
          <w:p w14:paraId="5A5CB604">
            <w:pPr>
              <w:spacing w:line="360" w:lineRule="auto"/>
              <w:jc w:val="center"/>
              <w:rPr>
                <w:rFonts w:ascii="宋体" w:hAnsi="宋体" w:cs="宋体"/>
                <w:sz w:val="24"/>
                <w:szCs w:val="24"/>
              </w:rPr>
            </w:pPr>
          </w:p>
        </w:tc>
        <w:tc>
          <w:tcPr>
            <w:tcW w:w="1173" w:type="dxa"/>
          </w:tcPr>
          <w:p w14:paraId="31BF933E">
            <w:pPr>
              <w:spacing w:line="360" w:lineRule="auto"/>
              <w:jc w:val="center"/>
              <w:rPr>
                <w:rFonts w:ascii="宋体" w:hAnsi="宋体" w:cs="宋体"/>
                <w:sz w:val="24"/>
                <w:szCs w:val="24"/>
              </w:rPr>
            </w:pPr>
          </w:p>
        </w:tc>
      </w:tr>
      <w:tr w14:paraId="5494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49DC0EA">
            <w:pPr>
              <w:spacing w:line="360" w:lineRule="auto"/>
              <w:jc w:val="center"/>
              <w:rPr>
                <w:rFonts w:ascii="宋体" w:hAnsi="宋体" w:cs="宋体"/>
                <w:sz w:val="24"/>
                <w:szCs w:val="24"/>
              </w:rPr>
            </w:pPr>
          </w:p>
        </w:tc>
        <w:tc>
          <w:tcPr>
            <w:tcW w:w="3019" w:type="dxa"/>
          </w:tcPr>
          <w:p w14:paraId="12FECF57">
            <w:pPr>
              <w:spacing w:line="360" w:lineRule="auto"/>
              <w:jc w:val="center"/>
              <w:rPr>
                <w:rFonts w:ascii="宋体" w:hAnsi="宋体" w:cs="宋体"/>
                <w:sz w:val="24"/>
                <w:szCs w:val="24"/>
              </w:rPr>
            </w:pPr>
          </w:p>
        </w:tc>
        <w:tc>
          <w:tcPr>
            <w:tcW w:w="2852" w:type="dxa"/>
          </w:tcPr>
          <w:p w14:paraId="5464F985">
            <w:pPr>
              <w:spacing w:line="360" w:lineRule="auto"/>
              <w:jc w:val="center"/>
              <w:rPr>
                <w:rFonts w:ascii="宋体" w:hAnsi="宋体" w:cs="宋体"/>
                <w:sz w:val="24"/>
                <w:szCs w:val="24"/>
              </w:rPr>
            </w:pPr>
          </w:p>
        </w:tc>
        <w:tc>
          <w:tcPr>
            <w:tcW w:w="1308" w:type="dxa"/>
          </w:tcPr>
          <w:p w14:paraId="40C55702">
            <w:pPr>
              <w:spacing w:line="360" w:lineRule="auto"/>
              <w:jc w:val="center"/>
              <w:rPr>
                <w:rFonts w:ascii="宋体" w:hAnsi="宋体" w:cs="宋体"/>
                <w:sz w:val="24"/>
                <w:szCs w:val="24"/>
              </w:rPr>
            </w:pPr>
          </w:p>
        </w:tc>
        <w:tc>
          <w:tcPr>
            <w:tcW w:w="1173" w:type="dxa"/>
          </w:tcPr>
          <w:p w14:paraId="6DA7AC95">
            <w:pPr>
              <w:spacing w:line="360" w:lineRule="auto"/>
              <w:jc w:val="center"/>
              <w:rPr>
                <w:rFonts w:ascii="宋体" w:hAnsi="宋体" w:cs="宋体"/>
                <w:sz w:val="24"/>
                <w:szCs w:val="24"/>
              </w:rPr>
            </w:pPr>
          </w:p>
        </w:tc>
      </w:tr>
      <w:tr w14:paraId="1D2E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B9EC37C">
            <w:pPr>
              <w:spacing w:line="360" w:lineRule="auto"/>
              <w:jc w:val="center"/>
              <w:rPr>
                <w:rFonts w:ascii="宋体" w:hAnsi="宋体" w:cs="宋体"/>
                <w:sz w:val="24"/>
                <w:szCs w:val="24"/>
              </w:rPr>
            </w:pPr>
          </w:p>
        </w:tc>
        <w:tc>
          <w:tcPr>
            <w:tcW w:w="3019" w:type="dxa"/>
          </w:tcPr>
          <w:p w14:paraId="44BE5266">
            <w:pPr>
              <w:spacing w:line="360" w:lineRule="auto"/>
              <w:jc w:val="center"/>
              <w:rPr>
                <w:rFonts w:ascii="宋体" w:hAnsi="宋体" w:cs="宋体"/>
                <w:sz w:val="24"/>
                <w:szCs w:val="24"/>
              </w:rPr>
            </w:pPr>
          </w:p>
        </w:tc>
        <w:tc>
          <w:tcPr>
            <w:tcW w:w="2852" w:type="dxa"/>
          </w:tcPr>
          <w:p w14:paraId="546BF1B0">
            <w:pPr>
              <w:spacing w:line="360" w:lineRule="auto"/>
              <w:jc w:val="center"/>
              <w:rPr>
                <w:rFonts w:ascii="宋体" w:hAnsi="宋体" w:cs="宋体"/>
                <w:sz w:val="24"/>
                <w:szCs w:val="24"/>
              </w:rPr>
            </w:pPr>
          </w:p>
        </w:tc>
        <w:tc>
          <w:tcPr>
            <w:tcW w:w="1308" w:type="dxa"/>
          </w:tcPr>
          <w:p w14:paraId="4C23D696">
            <w:pPr>
              <w:spacing w:line="360" w:lineRule="auto"/>
              <w:jc w:val="center"/>
              <w:rPr>
                <w:rFonts w:ascii="宋体" w:hAnsi="宋体" w:cs="宋体"/>
                <w:sz w:val="24"/>
                <w:szCs w:val="24"/>
              </w:rPr>
            </w:pPr>
          </w:p>
        </w:tc>
        <w:tc>
          <w:tcPr>
            <w:tcW w:w="1173" w:type="dxa"/>
          </w:tcPr>
          <w:p w14:paraId="15EC16AE">
            <w:pPr>
              <w:spacing w:line="360" w:lineRule="auto"/>
              <w:jc w:val="center"/>
              <w:rPr>
                <w:rFonts w:ascii="宋体" w:hAnsi="宋体" w:cs="宋体"/>
                <w:sz w:val="24"/>
                <w:szCs w:val="24"/>
              </w:rPr>
            </w:pPr>
          </w:p>
        </w:tc>
      </w:tr>
      <w:tr w14:paraId="490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816B046">
            <w:pPr>
              <w:spacing w:line="360" w:lineRule="auto"/>
              <w:jc w:val="center"/>
              <w:rPr>
                <w:rFonts w:ascii="宋体" w:hAnsi="宋体" w:cs="宋体"/>
                <w:sz w:val="24"/>
                <w:szCs w:val="24"/>
              </w:rPr>
            </w:pPr>
          </w:p>
        </w:tc>
        <w:tc>
          <w:tcPr>
            <w:tcW w:w="3019" w:type="dxa"/>
          </w:tcPr>
          <w:p w14:paraId="09752B06">
            <w:pPr>
              <w:spacing w:line="360" w:lineRule="auto"/>
              <w:jc w:val="center"/>
              <w:rPr>
                <w:rFonts w:ascii="宋体" w:hAnsi="宋体" w:cs="宋体"/>
                <w:sz w:val="24"/>
                <w:szCs w:val="24"/>
              </w:rPr>
            </w:pPr>
            <w:r>
              <w:rPr>
                <w:rFonts w:hint="eastAsia" w:ascii="宋体" w:hAnsi="宋体" w:cs="宋体"/>
                <w:sz w:val="24"/>
                <w:szCs w:val="24"/>
              </w:rPr>
              <w:t>……</w:t>
            </w:r>
          </w:p>
        </w:tc>
        <w:tc>
          <w:tcPr>
            <w:tcW w:w="2852" w:type="dxa"/>
          </w:tcPr>
          <w:p w14:paraId="6F00447E">
            <w:pPr>
              <w:spacing w:line="360" w:lineRule="auto"/>
              <w:jc w:val="center"/>
              <w:rPr>
                <w:rFonts w:ascii="宋体" w:hAnsi="宋体" w:cs="宋体"/>
                <w:sz w:val="24"/>
                <w:szCs w:val="24"/>
              </w:rPr>
            </w:pPr>
          </w:p>
        </w:tc>
        <w:tc>
          <w:tcPr>
            <w:tcW w:w="1308" w:type="dxa"/>
          </w:tcPr>
          <w:p w14:paraId="78508244">
            <w:pPr>
              <w:spacing w:line="360" w:lineRule="auto"/>
              <w:jc w:val="center"/>
              <w:rPr>
                <w:rFonts w:ascii="宋体" w:hAnsi="宋体" w:cs="宋体"/>
                <w:sz w:val="24"/>
                <w:szCs w:val="24"/>
              </w:rPr>
            </w:pPr>
          </w:p>
        </w:tc>
        <w:tc>
          <w:tcPr>
            <w:tcW w:w="1173" w:type="dxa"/>
          </w:tcPr>
          <w:p w14:paraId="43A26B81">
            <w:pPr>
              <w:spacing w:line="360" w:lineRule="auto"/>
              <w:jc w:val="center"/>
              <w:rPr>
                <w:rFonts w:ascii="宋体" w:hAnsi="宋体" w:cs="宋体"/>
                <w:sz w:val="24"/>
                <w:szCs w:val="24"/>
              </w:rPr>
            </w:pPr>
          </w:p>
        </w:tc>
      </w:tr>
    </w:tbl>
    <w:p w14:paraId="1695F407">
      <w:pPr>
        <w:spacing w:line="500" w:lineRule="exact"/>
        <w:ind w:firstLine="4560" w:firstLineChars="1900"/>
        <w:rPr>
          <w:rFonts w:ascii="宋体" w:hAnsi="宋体" w:cs="宋体"/>
          <w:sz w:val="24"/>
          <w:szCs w:val="24"/>
          <w:u w:val="single"/>
        </w:rPr>
      </w:pPr>
      <w:r>
        <w:rPr>
          <w:rFonts w:hint="eastAsia" w:ascii="宋体" w:hAnsi="宋体" w:cs="宋体"/>
          <w:sz w:val="24"/>
          <w:szCs w:val="24"/>
        </w:rPr>
        <w:t>供应商授权代表（签字或签章）：</w:t>
      </w:r>
      <w:r>
        <w:rPr>
          <w:rFonts w:hint="eastAsia" w:ascii="宋体" w:hAnsi="宋体" w:cs="宋体"/>
          <w:sz w:val="24"/>
          <w:szCs w:val="24"/>
          <w:u w:val="single"/>
        </w:rPr>
        <w:t xml:space="preserve">           </w:t>
      </w:r>
    </w:p>
    <w:p w14:paraId="11BF7DA6">
      <w:pPr>
        <w:spacing w:line="500" w:lineRule="exact"/>
        <w:jc w:val="center"/>
        <w:rPr>
          <w:rFonts w:ascii="宋体" w:hAnsi="宋体" w:cs="宋体"/>
          <w:b/>
          <w:sz w:val="24"/>
          <w:szCs w:val="24"/>
        </w:rPr>
      </w:pPr>
      <w:r>
        <w:rPr>
          <w:rFonts w:hint="eastAsia" w:ascii="宋体" w:hAnsi="宋体" w:cs="宋体"/>
          <w:sz w:val="24"/>
          <w:szCs w:val="24"/>
        </w:rPr>
        <w:t xml:space="preserve">                                        日期：</w:t>
      </w:r>
    </w:p>
    <w:p w14:paraId="7A43F941">
      <w:pPr>
        <w:ind w:left="420"/>
        <w:rPr>
          <w:rFonts w:ascii="宋体" w:hAnsi="宋体" w:cs="宋体"/>
          <w:sz w:val="24"/>
          <w:szCs w:val="24"/>
        </w:rPr>
      </w:pPr>
    </w:p>
    <w:p w14:paraId="1CBE3C69">
      <w:pPr>
        <w:spacing w:line="500" w:lineRule="exact"/>
        <w:rPr>
          <w:rFonts w:ascii="宋体" w:hAnsi="宋体" w:cs="宋体"/>
          <w:bCs/>
          <w:sz w:val="24"/>
          <w:szCs w:val="24"/>
        </w:rPr>
      </w:pPr>
      <w:r>
        <w:rPr>
          <w:rFonts w:hint="eastAsia" w:ascii="宋体" w:hAnsi="宋体" w:cs="宋体"/>
          <w:bCs/>
          <w:sz w:val="24"/>
          <w:szCs w:val="24"/>
        </w:rPr>
        <w:t>注：</w:t>
      </w:r>
    </w:p>
    <w:p w14:paraId="49203D1E">
      <w:pPr>
        <w:spacing w:line="500" w:lineRule="exact"/>
        <w:rPr>
          <w:rFonts w:ascii="宋体" w:hAnsi="宋体" w:cs="宋体"/>
          <w:sz w:val="24"/>
          <w:szCs w:val="24"/>
        </w:rPr>
      </w:pPr>
      <w:r>
        <w:rPr>
          <w:rFonts w:hint="eastAsia" w:ascii="宋体" w:hAnsi="宋体" w:cs="宋体"/>
          <w:bCs/>
          <w:sz w:val="24"/>
          <w:szCs w:val="24"/>
        </w:rPr>
        <w:t>1.如提供空白表盖公章，则视为全部响应本文件的服务条款。</w:t>
      </w:r>
    </w:p>
    <w:p w14:paraId="74D591D8">
      <w:pPr>
        <w:spacing w:line="360" w:lineRule="auto"/>
        <w:rPr>
          <w:rFonts w:ascii="宋体" w:hAnsi="宋体" w:cs="宋体"/>
          <w:sz w:val="24"/>
          <w:szCs w:val="24"/>
        </w:rPr>
      </w:pPr>
      <w:r>
        <w:rPr>
          <w:rFonts w:hint="eastAsia" w:ascii="宋体" w:hAnsi="宋体" w:cs="宋体"/>
          <w:sz w:val="24"/>
          <w:szCs w:val="24"/>
        </w:rPr>
        <w:t>2.提供相关证明材料的，需标注证明材料在响应文件中的页码。</w:t>
      </w:r>
    </w:p>
    <w:p w14:paraId="40490587">
      <w:pPr>
        <w:spacing w:line="360" w:lineRule="auto"/>
        <w:jc w:val="center"/>
        <w:rPr>
          <w:rFonts w:ascii="宋体" w:hAnsi="宋体" w:cs="宋体"/>
          <w:b/>
          <w:sz w:val="24"/>
          <w:szCs w:val="24"/>
        </w:rPr>
      </w:pPr>
    </w:p>
    <w:p w14:paraId="4C65E1D6">
      <w:pPr>
        <w:spacing w:line="500" w:lineRule="exact"/>
        <w:rPr>
          <w:rFonts w:ascii="宋体" w:hAnsi="宋体" w:cs="宋体"/>
          <w:b/>
          <w:sz w:val="24"/>
          <w:szCs w:val="24"/>
        </w:rPr>
      </w:pPr>
    </w:p>
    <w:p w14:paraId="7B95A7C1">
      <w:pPr>
        <w:spacing w:line="500" w:lineRule="exact"/>
        <w:rPr>
          <w:rFonts w:ascii="宋体" w:hAnsi="宋体" w:cs="宋体"/>
          <w:b/>
          <w:sz w:val="24"/>
          <w:szCs w:val="24"/>
        </w:rPr>
      </w:pPr>
    </w:p>
    <w:p w14:paraId="37518F39">
      <w:pPr>
        <w:spacing w:line="360" w:lineRule="auto"/>
        <w:rPr>
          <w:rFonts w:ascii="宋体" w:hAnsi="宋体" w:cs="宋体"/>
          <w:b/>
          <w:sz w:val="24"/>
          <w:szCs w:val="24"/>
        </w:rPr>
      </w:pPr>
      <w:r>
        <w:rPr>
          <w:rFonts w:hint="eastAsia" w:ascii="宋体" w:hAnsi="宋体" w:cs="宋体"/>
          <w:sz w:val="24"/>
          <w:szCs w:val="24"/>
        </w:rPr>
        <w:t>格式五：          （请根据《第四章 项目需求》填写此表）</w:t>
      </w:r>
    </w:p>
    <w:p w14:paraId="4EF05E24">
      <w:pPr>
        <w:spacing w:line="360" w:lineRule="auto"/>
        <w:jc w:val="center"/>
        <w:rPr>
          <w:rFonts w:ascii="宋体" w:hAnsi="宋体" w:cs="宋体"/>
          <w:b/>
          <w:sz w:val="24"/>
          <w:szCs w:val="24"/>
        </w:rPr>
      </w:pPr>
      <w:r>
        <w:rPr>
          <w:rFonts w:hint="eastAsia" w:ascii="宋体" w:hAnsi="宋体" w:cs="宋体"/>
          <w:b/>
          <w:sz w:val="24"/>
          <w:szCs w:val="24"/>
        </w:rPr>
        <w:t>商务要求响应及偏离表</w:t>
      </w:r>
    </w:p>
    <w:tbl>
      <w:tblPr>
        <w:tblStyle w:val="1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19"/>
        <w:gridCol w:w="2852"/>
        <w:gridCol w:w="1308"/>
        <w:gridCol w:w="1173"/>
      </w:tblGrid>
      <w:tr w14:paraId="04AF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76585C26">
            <w:pPr>
              <w:spacing w:line="360" w:lineRule="auto"/>
              <w:jc w:val="center"/>
              <w:rPr>
                <w:rFonts w:ascii="宋体" w:hAnsi="宋体" w:cs="宋体"/>
                <w:sz w:val="24"/>
                <w:szCs w:val="24"/>
              </w:rPr>
            </w:pPr>
            <w:r>
              <w:rPr>
                <w:rFonts w:hint="eastAsia" w:ascii="宋体" w:hAnsi="宋体" w:cs="宋体"/>
                <w:sz w:val="24"/>
                <w:szCs w:val="24"/>
              </w:rPr>
              <w:t>序号</w:t>
            </w:r>
          </w:p>
        </w:tc>
        <w:tc>
          <w:tcPr>
            <w:tcW w:w="3019" w:type="dxa"/>
            <w:vAlign w:val="center"/>
          </w:tcPr>
          <w:p w14:paraId="36D40C2D">
            <w:pPr>
              <w:spacing w:line="360" w:lineRule="auto"/>
              <w:jc w:val="center"/>
              <w:rPr>
                <w:rFonts w:ascii="宋体" w:hAnsi="宋体" w:cs="宋体"/>
                <w:sz w:val="24"/>
                <w:szCs w:val="24"/>
              </w:rPr>
            </w:pPr>
            <w:r>
              <w:rPr>
                <w:rFonts w:hint="eastAsia" w:ascii="宋体" w:hAnsi="宋体" w:cs="宋体"/>
                <w:sz w:val="24"/>
                <w:szCs w:val="24"/>
              </w:rPr>
              <w:t>谈判文件要求</w:t>
            </w:r>
          </w:p>
        </w:tc>
        <w:tc>
          <w:tcPr>
            <w:tcW w:w="2852" w:type="dxa"/>
            <w:vAlign w:val="center"/>
          </w:tcPr>
          <w:p w14:paraId="7FE3E340">
            <w:pPr>
              <w:spacing w:line="360" w:lineRule="auto"/>
              <w:jc w:val="center"/>
              <w:rPr>
                <w:rFonts w:ascii="宋体" w:hAnsi="宋体" w:cs="宋体"/>
                <w:sz w:val="24"/>
                <w:szCs w:val="24"/>
              </w:rPr>
            </w:pPr>
            <w:r>
              <w:rPr>
                <w:rFonts w:hint="eastAsia" w:ascii="宋体" w:hAnsi="宋体" w:cs="宋体"/>
                <w:sz w:val="24"/>
                <w:szCs w:val="24"/>
              </w:rPr>
              <w:t>供应商响应情况</w:t>
            </w:r>
          </w:p>
        </w:tc>
        <w:tc>
          <w:tcPr>
            <w:tcW w:w="1308" w:type="dxa"/>
            <w:vAlign w:val="center"/>
          </w:tcPr>
          <w:p w14:paraId="64920456">
            <w:pPr>
              <w:spacing w:line="360" w:lineRule="auto"/>
              <w:jc w:val="center"/>
              <w:rPr>
                <w:rFonts w:ascii="宋体" w:hAnsi="宋体" w:cs="宋体"/>
                <w:sz w:val="24"/>
                <w:szCs w:val="24"/>
              </w:rPr>
            </w:pPr>
            <w:r>
              <w:rPr>
                <w:rFonts w:hint="eastAsia" w:ascii="宋体" w:hAnsi="宋体" w:cs="宋体"/>
                <w:sz w:val="24"/>
                <w:szCs w:val="24"/>
              </w:rPr>
              <w:t>响应/偏离</w:t>
            </w:r>
          </w:p>
        </w:tc>
        <w:tc>
          <w:tcPr>
            <w:tcW w:w="1173" w:type="dxa"/>
            <w:vAlign w:val="center"/>
          </w:tcPr>
          <w:p w14:paraId="50BD3B45">
            <w:pPr>
              <w:spacing w:line="360" w:lineRule="auto"/>
              <w:jc w:val="center"/>
              <w:rPr>
                <w:rFonts w:ascii="宋体" w:hAnsi="宋体" w:cs="宋体"/>
                <w:sz w:val="24"/>
                <w:szCs w:val="24"/>
              </w:rPr>
            </w:pPr>
            <w:r>
              <w:rPr>
                <w:rFonts w:hint="eastAsia" w:ascii="宋体" w:hAnsi="宋体" w:cs="宋体"/>
                <w:sz w:val="24"/>
                <w:szCs w:val="24"/>
              </w:rPr>
              <w:t>证明</w:t>
            </w:r>
          </w:p>
          <w:p w14:paraId="0697B2B7">
            <w:pPr>
              <w:spacing w:line="360" w:lineRule="auto"/>
              <w:jc w:val="center"/>
              <w:rPr>
                <w:rFonts w:ascii="宋体" w:hAnsi="宋体" w:cs="宋体"/>
                <w:sz w:val="24"/>
                <w:szCs w:val="24"/>
              </w:rPr>
            </w:pPr>
            <w:r>
              <w:rPr>
                <w:rFonts w:hint="eastAsia" w:ascii="宋体" w:hAnsi="宋体" w:cs="宋体"/>
                <w:sz w:val="24"/>
                <w:szCs w:val="24"/>
              </w:rPr>
              <w:t>材料</w:t>
            </w:r>
          </w:p>
        </w:tc>
      </w:tr>
      <w:tr w14:paraId="6317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9113496">
            <w:pPr>
              <w:spacing w:line="360" w:lineRule="auto"/>
              <w:jc w:val="center"/>
              <w:rPr>
                <w:rFonts w:ascii="宋体" w:hAnsi="宋体" w:cs="宋体"/>
                <w:sz w:val="24"/>
                <w:szCs w:val="24"/>
              </w:rPr>
            </w:pPr>
          </w:p>
        </w:tc>
        <w:tc>
          <w:tcPr>
            <w:tcW w:w="3019" w:type="dxa"/>
          </w:tcPr>
          <w:p w14:paraId="541B3E06">
            <w:pPr>
              <w:spacing w:line="360" w:lineRule="auto"/>
              <w:jc w:val="center"/>
              <w:rPr>
                <w:rFonts w:ascii="宋体" w:hAnsi="宋体" w:cs="宋体"/>
                <w:sz w:val="24"/>
                <w:szCs w:val="24"/>
              </w:rPr>
            </w:pPr>
          </w:p>
        </w:tc>
        <w:tc>
          <w:tcPr>
            <w:tcW w:w="2852" w:type="dxa"/>
          </w:tcPr>
          <w:p w14:paraId="34275CB9">
            <w:pPr>
              <w:spacing w:line="360" w:lineRule="auto"/>
              <w:jc w:val="center"/>
              <w:rPr>
                <w:rFonts w:ascii="宋体" w:hAnsi="宋体" w:cs="宋体"/>
                <w:sz w:val="24"/>
                <w:szCs w:val="24"/>
              </w:rPr>
            </w:pPr>
          </w:p>
        </w:tc>
        <w:tc>
          <w:tcPr>
            <w:tcW w:w="1308" w:type="dxa"/>
          </w:tcPr>
          <w:p w14:paraId="651CF84D">
            <w:pPr>
              <w:spacing w:line="360" w:lineRule="auto"/>
              <w:jc w:val="center"/>
              <w:rPr>
                <w:rFonts w:ascii="宋体" w:hAnsi="宋体" w:cs="宋体"/>
                <w:sz w:val="24"/>
                <w:szCs w:val="24"/>
              </w:rPr>
            </w:pPr>
          </w:p>
        </w:tc>
        <w:tc>
          <w:tcPr>
            <w:tcW w:w="1173" w:type="dxa"/>
          </w:tcPr>
          <w:p w14:paraId="236E8CAC">
            <w:pPr>
              <w:spacing w:line="360" w:lineRule="auto"/>
              <w:jc w:val="center"/>
              <w:rPr>
                <w:rFonts w:ascii="宋体" w:hAnsi="宋体" w:cs="宋体"/>
                <w:sz w:val="24"/>
                <w:szCs w:val="24"/>
              </w:rPr>
            </w:pPr>
          </w:p>
        </w:tc>
      </w:tr>
      <w:tr w14:paraId="0AFC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50F6497">
            <w:pPr>
              <w:spacing w:line="360" w:lineRule="auto"/>
              <w:jc w:val="center"/>
              <w:rPr>
                <w:rFonts w:ascii="宋体" w:hAnsi="宋体" w:cs="宋体"/>
                <w:sz w:val="24"/>
                <w:szCs w:val="24"/>
              </w:rPr>
            </w:pPr>
          </w:p>
        </w:tc>
        <w:tc>
          <w:tcPr>
            <w:tcW w:w="3019" w:type="dxa"/>
          </w:tcPr>
          <w:p w14:paraId="0A92A44A">
            <w:pPr>
              <w:spacing w:line="360" w:lineRule="auto"/>
              <w:jc w:val="center"/>
              <w:rPr>
                <w:rFonts w:ascii="宋体" w:hAnsi="宋体" w:cs="宋体"/>
                <w:sz w:val="24"/>
                <w:szCs w:val="24"/>
              </w:rPr>
            </w:pPr>
          </w:p>
        </w:tc>
        <w:tc>
          <w:tcPr>
            <w:tcW w:w="2852" w:type="dxa"/>
          </w:tcPr>
          <w:p w14:paraId="36B55D89">
            <w:pPr>
              <w:spacing w:line="360" w:lineRule="auto"/>
              <w:jc w:val="center"/>
              <w:rPr>
                <w:rFonts w:ascii="宋体" w:hAnsi="宋体" w:cs="宋体"/>
                <w:sz w:val="24"/>
                <w:szCs w:val="24"/>
              </w:rPr>
            </w:pPr>
          </w:p>
        </w:tc>
        <w:tc>
          <w:tcPr>
            <w:tcW w:w="1308" w:type="dxa"/>
          </w:tcPr>
          <w:p w14:paraId="66D22284">
            <w:pPr>
              <w:spacing w:line="360" w:lineRule="auto"/>
              <w:jc w:val="center"/>
              <w:rPr>
                <w:rFonts w:ascii="宋体" w:hAnsi="宋体" w:cs="宋体"/>
                <w:sz w:val="24"/>
                <w:szCs w:val="24"/>
              </w:rPr>
            </w:pPr>
          </w:p>
        </w:tc>
        <w:tc>
          <w:tcPr>
            <w:tcW w:w="1173" w:type="dxa"/>
          </w:tcPr>
          <w:p w14:paraId="26830250">
            <w:pPr>
              <w:spacing w:line="360" w:lineRule="auto"/>
              <w:jc w:val="center"/>
              <w:rPr>
                <w:rFonts w:ascii="宋体" w:hAnsi="宋体" w:cs="宋体"/>
                <w:sz w:val="24"/>
                <w:szCs w:val="24"/>
              </w:rPr>
            </w:pPr>
          </w:p>
        </w:tc>
      </w:tr>
      <w:tr w14:paraId="5939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13F41AC0">
            <w:pPr>
              <w:spacing w:line="360" w:lineRule="auto"/>
              <w:jc w:val="center"/>
              <w:rPr>
                <w:rFonts w:ascii="宋体" w:hAnsi="宋体" w:cs="宋体"/>
                <w:sz w:val="24"/>
                <w:szCs w:val="24"/>
              </w:rPr>
            </w:pPr>
          </w:p>
        </w:tc>
        <w:tc>
          <w:tcPr>
            <w:tcW w:w="3019" w:type="dxa"/>
          </w:tcPr>
          <w:p w14:paraId="16B30035">
            <w:pPr>
              <w:spacing w:line="360" w:lineRule="auto"/>
              <w:jc w:val="center"/>
              <w:rPr>
                <w:rFonts w:ascii="宋体" w:hAnsi="宋体" w:cs="宋体"/>
                <w:sz w:val="24"/>
                <w:szCs w:val="24"/>
              </w:rPr>
            </w:pPr>
          </w:p>
        </w:tc>
        <w:tc>
          <w:tcPr>
            <w:tcW w:w="2852" w:type="dxa"/>
          </w:tcPr>
          <w:p w14:paraId="6C1BBD87">
            <w:pPr>
              <w:spacing w:line="360" w:lineRule="auto"/>
              <w:jc w:val="center"/>
              <w:rPr>
                <w:rFonts w:ascii="宋体" w:hAnsi="宋体" w:cs="宋体"/>
                <w:sz w:val="24"/>
                <w:szCs w:val="24"/>
              </w:rPr>
            </w:pPr>
          </w:p>
        </w:tc>
        <w:tc>
          <w:tcPr>
            <w:tcW w:w="1308" w:type="dxa"/>
          </w:tcPr>
          <w:p w14:paraId="7F42E0CC">
            <w:pPr>
              <w:spacing w:line="360" w:lineRule="auto"/>
              <w:jc w:val="center"/>
              <w:rPr>
                <w:rFonts w:ascii="宋体" w:hAnsi="宋体" w:cs="宋体"/>
                <w:sz w:val="24"/>
                <w:szCs w:val="24"/>
              </w:rPr>
            </w:pPr>
          </w:p>
        </w:tc>
        <w:tc>
          <w:tcPr>
            <w:tcW w:w="1173" w:type="dxa"/>
          </w:tcPr>
          <w:p w14:paraId="43B6DC95">
            <w:pPr>
              <w:spacing w:line="360" w:lineRule="auto"/>
              <w:jc w:val="center"/>
              <w:rPr>
                <w:rFonts w:ascii="宋体" w:hAnsi="宋体" w:cs="宋体"/>
                <w:sz w:val="24"/>
                <w:szCs w:val="24"/>
              </w:rPr>
            </w:pPr>
          </w:p>
        </w:tc>
      </w:tr>
      <w:tr w14:paraId="4B5D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7F4CC943">
            <w:pPr>
              <w:spacing w:line="360" w:lineRule="auto"/>
              <w:jc w:val="center"/>
              <w:rPr>
                <w:rFonts w:ascii="宋体" w:hAnsi="宋体" w:cs="宋体"/>
                <w:sz w:val="24"/>
                <w:szCs w:val="24"/>
              </w:rPr>
            </w:pPr>
          </w:p>
        </w:tc>
        <w:tc>
          <w:tcPr>
            <w:tcW w:w="3019" w:type="dxa"/>
          </w:tcPr>
          <w:p w14:paraId="3FD20640">
            <w:pPr>
              <w:spacing w:line="360" w:lineRule="auto"/>
              <w:jc w:val="center"/>
              <w:rPr>
                <w:rFonts w:ascii="宋体" w:hAnsi="宋体" w:cs="宋体"/>
                <w:sz w:val="24"/>
                <w:szCs w:val="24"/>
              </w:rPr>
            </w:pPr>
          </w:p>
        </w:tc>
        <w:tc>
          <w:tcPr>
            <w:tcW w:w="2852" w:type="dxa"/>
          </w:tcPr>
          <w:p w14:paraId="7746A947">
            <w:pPr>
              <w:spacing w:line="360" w:lineRule="auto"/>
              <w:jc w:val="center"/>
              <w:rPr>
                <w:rFonts w:ascii="宋体" w:hAnsi="宋体" w:cs="宋体"/>
                <w:sz w:val="24"/>
                <w:szCs w:val="24"/>
              </w:rPr>
            </w:pPr>
          </w:p>
        </w:tc>
        <w:tc>
          <w:tcPr>
            <w:tcW w:w="1308" w:type="dxa"/>
          </w:tcPr>
          <w:p w14:paraId="6CD8F570">
            <w:pPr>
              <w:spacing w:line="360" w:lineRule="auto"/>
              <w:jc w:val="center"/>
              <w:rPr>
                <w:rFonts w:ascii="宋体" w:hAnsi="宋体" w:cs="宋体"/>
                <w:sz w:val="24"/>
                <w:szCs w:val="24"/>
              </w:rPr>
            </w:pPr>
          </w:p>
        </w:tc>
        <w:tc>
          <w:tcPr>
            <w:tcW w:w="1173" w:type="dxa"/>
          </w:tcPr>
          <w:p w14:paraId="5A4CB236">
            <w:pPr>
              <w:spacing w:line="360" w:lineRule="auto"/>
              <w:jc w:val="center"/>
              <w:rPr>
                <w:rFonts w:ascii="宋体" w:hAnsi="宋体" w:cs="宋体"/>
                <w:sz w:val="24"/>
                <w:szCs w:val="24"/>
              </w:rPr>
            </w:pPr>
          </w:p>
        </w:tc>
      </w:tr>
      <w:tr w14:paraId="3E45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63608F4F">
            <w:pPr>
              <w:spacing w:line="360" w:lineRule="auto"/>
              <w:jc w:val="center"/>
              <w:rPr>
                <w:rFonts w:ascii="宋体" w:hAnsi="宋体" w:cs="宋体"/>
                <w:sz w:val="24"/>
                <w:szCs w:val="24"/>
              </w:rPr>
            </w:pPr>
          </w:p>
        </w:tc>
        <w:tc>
          <w:tcPr>
            <w:tcW w:w="3019" w:type="dxa"/>
          </w:tcPr>
          <w:p w14:paraId="0A66B6E0">
            <w:pPr>
              <w:spacing w:line="360" w:lineRule="auto"/>
              <w:jc w:val="center"/>
              <w:rPr>
                <w:rFonts w:ascii="宋体" w:hAnsi="宋体" w:cs="宋体"/>
                <w:sz w:val="24"/>
                <w:szCs w:val="24"/>
              </w:rPr>
            </w:pPr>
          </w:p>
        </w:tc>
        <w:tc>
          <w:tcPr>
            <w:tcW w:w="2852" w:type="dxa"/>
          </w:tcPr>
          <w:p w14:paraId="21825571">
            <w:pPr>
              <w:spacing w:line="360" w:lineRule="auto"/>
              <w:jc w:val="center"/>
              <w:rPr>
                <w:rFonts w:ascii="宋体" w:hAnsi="宋体" w:cs="宋体"/>
                <w:sz w:val="24"/>
                <w:szCs w:val="24"/>
              </w:rPr>
            </w:pPr>
          </w:p>
        </w:tc>
        <w:tc>
          <w:tcPr>
            <w:tcW w:w="1308" w:type="dxa"/>
          </w:tcPr>
          <w:p w14:paraId="20148E05">
            <w:pPr>
              <w:spacing w:line="360" w:lineRule="auto"/>
              <w:jc w:val="center"/>
              <w:rPr>
                <w:rFonts w:ascii="宋体" w:hAnsi="宋体" w:cs="宋体"/>
                <w:sz w:val="24"/>
                <w:szCs w:val="24"/>
              </w:rPr>
            </w:pPr>
          </w:p>
        </w:tc>
        <w:tc>
          <w:tcPr>
            <w:tcW w:w="1173" w:type="dxa"/>
          </w:tcPr>
          <w:p w14:paraId="4F99119C">
            <w:pPr>
              <w:spacing w:line="360" w:lineRule="auto"/>
              <w:jc w:val="center"/>
              <w:rPr>
                <w:rFonts w:ascii="宋体" w:hAnsi="宋体" w:cs="宋体"/>
                <w:sz w:val="24"/>
                <w:szCs w:val="24"/>
              </w:rPr>
            </w:pPr>
          </w:p>
        </w:tc>
      </w:tr>
      <w:tr w14:paraId="4FA8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075621A1">
            <w:pPr>
              <w:spacing w:line="360" w:lineRule="auto"/>
              <w:jc w:val="center"/>
              <w:rPr>
                <w:rFonts w:ascii="宋体" w:hAnsi="宋体" w:cs="宋体"/>
                <w:sz w:val="24"/>
                <w:szCs w:val="24"/>
              </w:rPr>
            </w:pPr>
          </w:p>
        </w:tc>
        <w:tc>
          <w:tcPr>
            <w:tcW w:w="3019" w:type="dxa"/>
          </w:tcPr>
          <w:p w14:paraId="0E54C893">
            <w:pPr>
              <w:spacing w:line="360" w:lineRule="auto"/>
              <w:jc w:val="center"/>
              <w:rPr>
                <w:rFonts w:ascii="宋体" w:hAnsi="宋体" w:cs="宋体"/>
                <w:sz w:val="24"/>
                <w:szCs w:val="24"/>
              </w:rPr>
            </w:pPr>
          </w:p>
        </w:tc>
        <w:tc>
          <w:tcPr>
            <w:tcW w:w="2852" w:type="dxa"/>
          </w:tcPr>
          <w:p w14:paraId="659F73E3">
            <w:pPr>
              <w:spacing w:line="360" w:lineRule="auto"/>
              <w:jc w:val="center"/>
              <w:rPr>
                <w:rFonts w:ascii="宋体" w:hAnsi="宋体" w:cs="宋体"/>
                <w:sz w:val="24"/>
                <w:szCs w:val="24"/>
              </w:rPr>
            </w:pPr>
          </w:p>
        </w:tc>
        <w:tc>
          <w:tcPr>
            <w:tcW w:w="1308" w:type="dxa"/>
          </w:tcPr>
          <w:p w14:paraId="312DA60E">
            <w:pPr>
              <w:spacing w:line="360" w:lineRule="auto"/>
              <w:jc w:val="center"/>
              <w:rPr>
                <w:rFonts w:ascii="宋体" w:hAnsi="宋体" w:cs="宋体"/>
                <w:sz w:val="24"/>
                <w:szCs w:val="24"/>
              </w:rPr>
            </w:pPr>
          </w:p>
        </w:tc>
        <w:tc>
          <w:tcPr>
            <w:tcW w:w="1173" w:type="dxa"/>
          </w:tcPr>
          <w:p w14:paraId="3F4831B7">
            <w:pPr>
              <w:spacing w:line="360" w:lineRule="auto"/>
              <w:jc w:val="center"/>
              <w:rPr>
                <w:rFonts w:ascii="宋体" w:hAnsi="宋体" w:cs="宋体"/>
                <w:sz w:val="24"/>
                <w:szCs w:val="24"/>
              </w:rPr>
            </w:pPr>
          </w:p>
        </w:tc>
      </w:tr>
      <w:tr w14:paraId="4044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7D7B8826">
            <w:pPr>
              <w:spacing w:line="360" w:lineRule="auto"/>
              <w:jc w:val="center"/>
              <w:rPr>
                <w:rFonts w:ascii="宋体" w:hAnsi="宋体" w:cs="宋体"/>
                <w:sz w:val="24"/>
                <w:szCs w:val="24"/>
              </w:rPr>
            </w:pPr>
          </w:p>
        </w:tc>
        <w:tc>
          <w:tcPr>
            <w:tcW w:w="3019" w:type="dxa"/>
          </w:tcPr>
          <w:p w14:paraId="07230F12">
            <w:pPr>
              <w:spacing w:line="360" w:lineRule="auto"/>
              <w:jc w:val="center"/>
              <w:rPr>
                <w:rFonts w:ascii="宋体" w:hAnsi="宋体" w:cs="宋体"/>
                <w:sz w:val="24"/>
                <w:szCs w:val="24"/>
              </w:rPr>
            </w:pPr>
          </w:p>
        </w:tc>
        <w:tc>
          <w:tcPr>
            <w:tcW w:w="2852" w:type="dxa"/>
          </w:tcPr>
          <w:p w14:paraId="6705E35A">
            <w:pPr>
              <w:spacing w:line="360" w:lineRule="auto"/>
              <w:jc w:val="center"/>
              <w:rPr>
                <w:rFonts w:ascii="宋体" w:hAnsi="宋体" w:cs="宋体"/>
                <w:sz w:val="24"/>
                <w:szCs w:val="24"/>
              </w:rPr>
            </w:pPr>
          </w:p>
        </w:tc>
        <w:tc>
          <w:tcPr>
            <w:tcW w:w="1308" w:type="dxa"/>
          </w:tcPr>
          <w:p w14:paraId="67EFEE47">
            <w:pPr>
              <w:spacing w:line="360" w:lineRule="auto"/>
              <w:jc w:val="center"/>
              <w:rPr>
                <w:rFonts w:ascii="宋体" w:hAnsi="宋体" w:cs="宋体"/>
                <w:sz w:val="24"/>
                <w:szCs w:val="24"/>
              </w:rPr>
            </w:pPr>
          </w:p>
        </w:tc>
        <w:tc>
          <w:tcPr>
            <w:tcW w:w="1173" w:type="dxa"/>
          </w:tcPr>
          <w:p w14:paraId="7A94F9EC">
            <w:pPr>
              <w:spacing w:line="360" w:lineRule="auto"/>
              <w:jc w:val="center"/>
              <w:rPr>
                <w:rFonts w:ascii="宋体" w:hAnsi="宋体" w:cs="宋体"/>
                <w:sz w:val="24"/>
                <w:szCs w:val="24"/>
              </w:rPr>
            </w:pPr>
          </w:p>
        </w:tc>
      </w:tr>
      <w:tr w14:paraId="5448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17" w:type="dxa"/>
          </w:tcPr>
          <w:p w14:paraId="2B9F3009">
            <w:pPr>
              <w:spacing w:line="360" w:lineRule="auto"/>
              <w:jc w:val="center"/>
              <w:rPr>
                <w:rFonts w:ascii="宋体" w:hAnsi="宋体" w:cs="宋体"/>
                <w:sz w:val="24"/>
                <w:szCs w:val="24"/>
              </w:rPr>
            </w:pPr>
          </w:p>
        </w:tc>
        <w:tc>
          <w:tcPr>
            <w:tcW w:w="3019" w:type="dxa"/>
          </w:tcPr>
          <w:p w14:paraId="15029E8A">
            <w:pPr>
              <w:spacing w:line="360" w:lineRule="auto"/>
              <w:jc w:val="center"/>
              <w:rPr>
                <w:rFonts w:ascii="宋体" w:hAnsi="宋体" w:cs="宋体"/>
                <w:sz w:val="24"/>
                <w:szCs w:val="24"/>
              </w:rPr>
            </w:pPr>
            <w:r>
              <w:rPr>
                <w:rFonts w:hint="eastAsia" w:ascii="宋体" w:hAnsi="宋体" w:cs="宋体"/>
                <w:sz w:val="24"/>
                <w:szCs w:val="24"/>
              </w:rPr>
              <w:t>……</w:t>
            </w:r>
          </w:p>
        </w:tc>
        <w:tc>
          <w:tcPr>
            <w:tcW w:w="2852" w:type="dxa"/>
          </w:tcPr>
          <w:p w14:paraId="2088E2BC">
            <w:pPr>
              <w:spacing w:line="360" w:lineRule="auto"/>
              <w:jc w:val="center"/>
              <w:rPr>
                <w:rFonts w:ascii="宋体" w:hAnsi="宋体" w:cs="宋体"/>
                <w:sz w:val="24"/>
                <w:szCs w:val="24"/>
              </w:rPr>
            </w:pPr>
          </w:p>
        </w:tc>
        <w:tc>
          <w:tcPr>
            <w:tcW w:w="1308" w:type="dxa"/>
          </w:tcPr>
          <w:p w14:paraId="3E6F0E87">
            <w:pPr>
              <w:spacing w:line="360" w:lineRule="auto"/>
              <w:jc w:val="center"/>
              <w:rPr>
                <w:rFonts w:ascii="宋体" w:hAnsi="宋体" w:cs="宋体"/>
                <w:sz w:val="24"/>
                <w:szCs w:val="24"/>
              </w:rPr>
            </w:pPr>
          </w:p>
        </w:tc>
        <w:tc>
          <w:tcPr>
            <w:tcW w:w="1173" w:type="dxa"/>
          </w:tcPr>
          <w:p w14:paraId="458D2EC7">
            <w:pPr>
              <w:spacing w:line="360" w:lineRule="auto"/>
              <w:jc w:val="center"/>
              <w:rPr>
                <w:rFonts w:ascii="宋体" w:hAnsi="宋体" w:cs="宋体"/>
                <w:sz w:val="24"/>
                <w:szCs w:val="24"/>
              </w:rPr>
            </w:pPr>
          </w:p>
        </w:tc>
      </w:tr>
    </w:tbl>
    <w:p w14:paraId="793F94A1">
      <w:pPr>
        <w:spacing w:line="500" w:lineRule="exact"/>
        <w:ind w:firstLine="4560" w:firstLineChars="1900"/>
        <w:rPr>
          <w:rFonts w:ascii="宋体" w:hAnsi="宋体" w:cs="宋体"/>
          <w:sz w:val="24"/>
          <w:szCs w:val="24"/>
          <w:u w:val="single"/>
        </w:rPr>
      </w:pPr>
      <w:r>
        <w:rPr>
          <w:rFonts w:hint="eastAsia" w:ascii="宋体" w:hAnsi="宋体" w:cs="宋体"/>
          <w:sz w:val="24"/>
          <w:szCs w:val="24"/>
        </w:rPr>
        <w:t>供应商授权代表（签字或签章）：</w:t>
      </w:r>
      <w:r>
        <w:rPr>
          <w:rFonts w:hint="eastAsia" w:ascii="宋体" w:hAnsi="宋体" w:cs="宋体"/>
          <w:sz w:val="24"/>
          <w:szCs w:val="24"/>
          <w:u w:val="single"/>
        </w:rPr>
        <w:t xml:space="preserve">           </w:t>
      </w:r>
    </w:p>
    <w:p w14:paraId="1735EC90">
      <w:pPr>
        <w:spacing w:line="500" w:lineRule="exact"/>
        <w:jc w:val="center"/>
        <w:rPr>
          <w:rFonts w:ascii="宋体" w:hAnsi="宋体" w:cs="宋体"/>
          <w:b/>
          <w:sz w:val="24"/>
          <w:szCs w:val="24"/>
        </w:rPr>
      </w:pPr>
      <w:r>
        <w:rPr>
          <w:rFonts w:hint="eastAsia" w:ascii="宋体" w:hAnsi="宋体" w:cs="宋体"/>
          <w:sz w:val="24"/>
          <w:szCs w:val="24"/>
        </w:rPr>
        <w:t xml:space="preserve">                                        日期：</w:t>
      </w:r>
    </w:p>
    <w:p w14:paraId="0AC0FE66">
      <w:pPr>
        <w:ind w:left="420"/>
        <w:rPr>
          <w:rFonts w:ascii="宋体" w:hAnsi="宋体" w:cs="宋体"/>
          <w:sz w:val="24"/>
          <w:szCs w:val="24"/>
        </w:rPr>
      </w:pPr>
    </w:p>
    <w:p w14:paraId="28EC375E">
      <w:pPr>
        <w:spacing w:line="500" w:lineRule="exact"/>
        <w:rPr>
          <w:rFonts w:ascii="宋体" w:hAnsi="宋体" w:cs="宋体"/>
          <w:bCs/>
          <w:sz w:val="24"/>
          <w:szCs w:val="24"/>
        </w:rPr>
      </w:pPr>
      <w:r>
        <w:rPr>
          <w:rFonts w:hint="eastAsia" w:ascii="宋体" w:hAnsi="宋体" w:cs="宋体"/>
          <w:bCs/>
          <w:sz w:val="24"/>
          <w:szCs w:val="24"/>
        </w:rPr>
        <w:t>注：</w:t>
      </w:r>
    </w:p>
    <w:p w14:paraId="0914E05A">
      <w:pPr>
        <w:spacing w:line="500" w:lineRule="exact"/>
        <w:rPr>
          <w:rFonts w:ascii="宋体" w:hAnsi="宋体" w:cs="宋体"/>
          <w:sz w:val="24"/>
          <w:szCs w:val="24"/>
        </w:rPr>
      </w:pPr>
      <w:r>
        <w:rPr>
          <w:rFonts w:hint="eastAsia" w:ascii="宋体" w:hAnsi="宋体" w:cs="宋体"/>
          <w:bCs/>
          <w:sz w:val="24"/>
          <w:szCs w:val="24"/>
        </w:rPr>
        <w:t>1.如提供空白表盖公章，则视为全部响应本文件的商务条款。</w:t>
      </w:r>
    </w:p>
    <w:p w14:paraId="00EF8FF3">
      <w:pPr>
        <w:spacing w:line="360" w:lineRule="auto"/>
        <w:rPr>
          <w:rFonts w:ascii="宋体" w:hAnsi="宋体" w:cs="宋体"/>
          <w:sz w:val="24"/>
          <w:szCs w:val="24"/>
        </w:rPr>
      </w:pPr>
      <w:r>
        <w:rPr>
          <w:rFonts w:hint="eastAsia" w:ascii="宋体" w:hAnsi="宋体" w:cs="宋体"/>
          <w:sz w:val="24"/>
          <w:szCs w:val="24"/>
        </w:rPr>
        <w:t>2.提供相关证明材料的，需标注证明材料在响应文件中的页码。</w:t>
      </w:r>
    </w:p>
    <w:p w14:paraId="01721A0C">
      <w:pPr>
        <w:spacing w:line="500" w:lineRule="exact"/>
        <w:rPr>
          <w:rFonts w:ascii="宋体" w:hAnsi="宋体" w:cs="宋体"/>
          <w:sz w:val="24"/>
          <w:szCs w:val="24"/>
        </w:rPr>
      </w:pPr>
    </w:p>
    <w:p w14:paraId="115DFDC1">
      <w:pPr>
        <w:spacing w:line="500" w:lineRule="exact"/>
        <w:rPr>
          <w:rFonts w:ascii="宋体" w:hAnsi="宋体" w:cs="宋体"/>
          <w:bCs/>
          <w:sz w:val="24"/>
          <w:szCs w:val="24"/>
        </w:rPr>
      </w:pPr>
      <w:r>
        <w:rPr>
          <w:rFonts w:hint="eastAsia" w:ascii="宋体" w:hAnsi="宋体" w:cs="宋体"/>
          <w:sz w:val="24"/>
          <w:szCs w:val="24"/>
        </w:rPr>
        <w:t>格式六：</w:t>
      </w:r>
      <w:r>
        <w:rPr>
          <w:rFonts w:hint="eastAsia" w:ascii="宋体" w:hAnsi="宋体" w:cs="宋体"/>
          <w:bCs/>
          <w:sz w:val="24"/>
          <w:szCs w:val="24"/>
        </w:rPr>
        <w:t>业绩表（如有合同复印件请复印清晰装订在响应文件内）</w:t>
      </w:r>
      <w:bookmarkStart w:id="173" w:name="_Hlk142338648"/>
    </w:p>
    <w:p w14:paraId="5DDC8759">
      <w:pPr>
        <w:rPr>
          <w:rFonts w:ascii="宋体" w:hAnsi="宋体" w:cs="宋体"/>
          <w:bCs/>
          <w:kern w:val="0"/>
          <w:position w:val="-10"/>
          <w:sz w:val="24"/>
          <w:szCs w:val="24"/>
        </w:rPr>
      </w:pPr>
    </w:p>
    <w:bookmarkEnd w:id="173"/>
    <w:p w14:paraId="704155A8">
      <w:pPr>
        <w:spacing w:line="360" w:lineRule="auto"/>
        <w:jc w:val="left"/>
        <w:rPr>
          <w:rFonts w:ascii="宋体" w:hAnsi="宋体" w:cs="宋体"/>
          <w:bCs/>
          <w:kern w:val="0"/>
          <w:position w:val="-10"/>
          <w:sz w:val="24"/>
          <w:szCs w:val="24"/>
        </w:rPr>
      </w:pPr>
      <w:r>
        <w:rPr>
          <w:rFonts w:hint="eastAsia" w:ascii="宋体" w:hAnsi="宋体" w:cs="宋体"/>
          <w:bCs/>
          <w:kern w:val="0"/>
          <w:position w:val="-10"/>
          <w:sz w:val="24"/>
          <w:szCs w:val="24"/>
        </w:rPr>
        <w:t>格式七：</w:t>
      </w:r>
    </w:p>
    <w:p w14:paraId="157FFAFB">
      <w:pPr>
        <w:spacing w:line="360" w:lineRule="auto"/>
        <w:jc w:val="center"/>
        <w:rPr>
          <w:rFonts w:ascii="宋体" w:hAnsi="宋体" w:cs="宋体"/>
          <w:b/>
          <w:sz w:val="24"/>
          <w:szCs w:val="24"/>
        </w:rPr>
      </w:pPr>
      <w:r>
        <w:rPr>
          <w:rFonts w:hint="eastAsia" w:ascii="宋体" w:hAnsi="宋体" w:cs="宋体"/>
          <w:b/>
          <w:sz w:val="24"/>
          <w:szCs w:val="24"/>
        </w:rPr>
        <w:t>法定代表人授权书</w:t>
      </w:r>
    </w:p>
    <w:p w14:paraId="69CC26DA">
      <w:pPr>
        <w:spacing w:line="500" w:lineRule="exact"/>
        <w:ind w:firstLine="480" w:firstLineChars="200"/>
        <w:rPr>
          <w:rFonts w:ascii="宋体" w:hAnsi="宋体" w:cs="宋体"/>
          <w:sz w:val="24"/>
          <w:szCs w:val="24"/>
        </w:rPr>
      </w:pPr>
      <w:bookmarkStart w:id="174" w:name="_Hlk142338433"/>
      <w:r>
        <w:rPr>
          <w:rFonts w:hint="eastAsia" w:ascii="宋体" w:hAnsi="宋体" w:cs="宋体"/>
          <w:sz w:val="24"/>
          <w:szCs w:val="24"/>
        </w:rPr>
        <w:t>本授权委托书声明：我</w:t>
      </w:r>
      <w:r>
        <w:rPr>
          <w:rFonts w:hint="eastAsia" w:ascii="宋体" w:hAnsi="宋体" w:cs="宋体"/>
          <w:b/>
          <w:sz w:val="24"/>
          <w:szCs w:val="24"/>
          <w:u w:val="single"/>
        </w:rPr>
        <w:t xml:space="preserve">                 </w:t>
      </w:r>
      <w:r>
        <w:rPr>
          <w:rFonts w:hint="eastAsia" w:ascii="宋体" w:hAnsi="宋体" w:cs="宋体"/>
          <w:sz w:val="24"/>
          <w:szCs w:val="24"/>
        </w:rPr>
        <w:t xml:space="preserve">（姓名）系 </w:t>
      </w:r>
      <w:r>
        <w:rPr>
          <w:rFonts w:hint="eastAsia" w:ascii="宋体" w:hAnsi="宋体" w:cs="宋体"/>
          <w:b/>
          <w:sz w:val="24"/>
          <w:szCs w:val="24"/>
          <w:u w:val="single"/>
        </w:rPr>
        <w:t xml:space="preserve">    　　　　</w:t>
      </w:r>
      <w:r>
        <w:rPr>
          <w:rFonts w:hint="eastAsia" w:ascii="宋体" w:hAnsi="宋体" w:cs="宋体"/>
          <w:sz w:val="24"/>
          <w:szCs w:val="24"/>
        </w:rPr>
        <w:t xml:space="preserve">（单位名称）的法定代表人，现授权本单位 </w:t>
      </w:r>
      <w:r>
        <w:rPr>
          <w:rFonts w:hint="eastAsia" w:ascii="宋体" w:hAnsi="宋体" w:cs="宋体"/>
          <w:b/>
          <w:sz w:val="24"/>
          <w:szCs w:val="24"/>
          <w:u w:val="single"/>
        </w:rPr>
        <w:t xml:space="preserve">           </w:t>
      </w:r>
      <w:r>
        <w:rPr>
          <w:rFonts w:hint="eastAsia" w:ascii="宋体" w:hAnsi="宋体" w:cs="宋体"/>
          <w:sz w:val="24"/>
          <w:szCs w:val="24"/>
        </w:rPr>
        <w:t xml:space="preserve">（代理人姓名）为我的合法代理人，以 </w:t>
      </w:r>
      <w:r>
        <w:rPr>
          <w:rFonts w:hint="eastAsia" w:ascii="宋体" w:hAnsi="宋体" w:cs="宋体"/>
          <w:b/>
          <w:sz w:val="24"/>
          <w:szCs w:val="24"/>
          <w:u w:val="single"/>
        </w:rPr>
        <w:t xml:space="preserve">              </w:t>
      </w:r>
      <w:r>
        <w:rPr>
          <w:rFonts w:hint="eastAsia" w:ascii="宋体" w:hAnsi="宋体" w:cs="宋体"/>
          <w:sz w:val="24"/>
          <w:szCs w:val="24"/>
        </w:rPr>
        <w:t>（投标单位名称）的名义参加</w:t>
      </w:r>
      <w:r>
        <w:rPr>
          <w:rFonts w:hint="eastAsia" w:ascii="宋体" w:hAnsi="宋体" w:cs="宋体"/>
          <w:b/>
          <w:sz w:val="24"/>
          <w:szCs w:val="24"/>
          <w:u w:val="single"/>
        </w:rPr>
        <w:t xml:space="preserve">           </w:t>
      </w:r>
      <w:r>
        <w:rPr>
          <w:rFonts w:hint="eastAsia" w:ascii="宋体" w:hAnsi="宋体" w:cs="宋体"/>
          <w:sz w:val="24"/>
          <w:szCs w:val="24"/>
        </w:rPr>
        <w:t xml:space="preserve"> （采购人名称）的  </w:t>
      </w:r>
      <w:r>
        <w:rPr>
          <w:rFonts w:hint="eastAsia" w:ascii="宋体" w:hAnsi="宋体" w:cs="宋体"/>
          <w:b/>
          <w:sz w:val="24"/>
          <w:szCs w:val="24"/>
          <w:u w:val="single"/>
        </w:rPr>
        <w:t xml:space="preserve">                   </w:t>
      </w:r>
      <w:r>
        <w:rPr>
          <w:rFonts w:hint="eastAsia" w:ascii="宋体" w:hAnsi="宋体" w:cs="宋体"/>
          <w:b/>
          <w:sz w:val="24"/>
          <w:szCs w:val="24"/>
        </w:rPr>
        <w:t xml:space="preserve"> </w:t>
      </w:r>
      <w:r>
        <w:rPr>
          <w:rFonts w:hint="eastAsia" w:ascii="宋体" w:hAnsi="宋体" w:cs="宋体"/>
          <w:sz w:val="24"/>
          <w:szCs w:val="24"/>
        </w:rPr>
        <w:t>（项目名称）的投标。代理人签署的一切文件和处理与之有关的一切事务，我均予以承认。本授权书的有效期自投标开始至合同履行完毕止。</w:t>
      </w:r>
    </w:p>
    <w:p w14:paraId="57FB77D3">
      <w:pPr>
        <w:spacing w:line="500" w:lineRule="exact"/>
        <w:rPr>
          <w:rFonts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代理人无权转委托，特此委托。</w:t>
      </w:r>
    </w:p>
    <w:p w14:paraId="6530B271">
      <w:pPr>
        <w:spacing w:line="500" w:lineRule="exact"/>
        <w:rPr>
          <w:rFonts w:ascii="宋体" w:hAnsi="宋体" w:cs="宋体"/>
          <w:sz w:val="24"/>
          <w:szCs w:val="24"/>
        </w:rPr>
      </w:pPr>
      <w:r>
        <w:rPr>
          <w:rFonts w:hint="eastAsia" w:ascii="宋体" w:hAnsi="宋体" w:cs="宋体"/>
          <w:bCs/>
          <w:sz w:val="24"/>
          <w:szCs w:val="24"/>
        </w:rPr>
        <w:t>供应商名称（签章）：</w:t>
      </w:r>
      <w:r>
        <w:rPr>
          <w:rFonts w:hint="eastAsia" w:ascii="宋体" w:hAnsi="宋体" w:cs="宋体"/>
          <w:b/>
          <w:sz w:val="24"/>
          <w:szCs w:val="24"/>
          <w:u w:val="single"/>
        </w:rPr>
        <w:t xml:space="preserve">                        </w:t>
      </w:r>
    </w:p>
    <w:p w14:paraId="183A7C42">
      <w:pPr>
        <w:spacing w:line="500" w:lineRule="exact"/>
        <w:rPr>
          <w:rFonts w:ascii="宋体" w:hAnsi="宋体" w:cs="宋体"/>
          <w:b/>
          <w:sz w:val="24"/>
          <w:szCs w:val="24"/>
          <w:u w:val="single"/>
        </w:rPr>
      </w:pPr>
      <w:r>
        <w:rPr>
          <w:rFonts w:hint="eastAsia" w:ascii="宋体" w:hAnsi="宋体" w:cs="宋体"/>
          <w:sz w:val="24"/>
          <w:szCs w:val="24"/>
        </w:rPr>
        <w:t>法定代表人（签字或签章）：</w:t>
      </w:r>
      <w:r>
        <w:rPr>
          <w:rFonts w:hint="eastAsia" w:ascii="宋体" w:hAnsi="宋体" w:cs="宋体"/>
          <w:b/>
          <w:sz w:val="24"/>
          <w:szCs w:val="24"/>
          <w:u w:val="single"/>
        </w:rPr>
        <w:t xml:space="preserve">                        </w:t>
      </w:r>
    </w:p>
    <w:p w14:paraId="16BDB656">
      <w:pPr>
        <w:spacing w:line="500" w:lineRule="exact"/>
        <w:rPr>
          <w:rFonts w:ascii="宋体" w:hAnsi="宋体" w:cs="宋体"/>
          <w:sz w:val="24"/>
          <w:szCs w:val="24"/>
        </w:rPr>
      </w:pPr>
      <w:r>
        <w:rPr>
          <w:rFonts w:hint="eastAsia" w:ascii="宋体" w:hAnsi="宋体" w:cs="宋体"/>
          <w:sz w:val="24"/>
          <w:szCs w:val="24"/>
        </w:rPr>
        <w:t>被授权人（签字或签章）：</w:t>
      </w:r>
      <w:r>
        <w:rPr>
          <w:rFonts w:hint="eastAsia" w:ascii="宋体" w:hAnsi="宋体" w:cs="宋体"/>
          <w:b/>
          <w:sz w:val="24"/>
          <w:szCs w:val="24"/>
          <w:u w:val="single"/>
        </w:rPr>
        <w:t xml:space="preserve">                        </w:t>
      </w:r>
      <w:r>
        <w:rPr>
          <w:rFonts w:hint="eastAsia" w:ascii="宋体" w:hAnsi="宋体" w:cs="宋体"/>
          <w:sz w:val="24"/>
          <w:szCs w:val="24"/>
        </w:rPr>
        <w:t xml:space="preserve"> </w:t>
      </w:r>
    </w:p>
    <w:p w14:paraId="0708CA3A">
      <w:pPr>
        <w:spacing w:line="500" w:lineRule="exact"/>
        <w:rPr>
          <w:rFonts w:ascii="宋体" w:hAnsi="宋体" w:cs="宋体"/>
          <w:b/>
          <w:sz w:val="24"/>
          <w:szCs w:val="24"/>
        </w:rPr>
      </w:pPr>
      <w:r>
        <w:rPr>
          <w:rFonts w:hint="eastAsia" w:ascii="宋体" w:hAnsi="宋体" w:cs="宋体"/>
          <w:sz w:val="24"/>
          <w:szCs w:val="24"/>
        </w:rPr>
        <w:t>日期：           年   月   日</w:t>
      </w:r>
    </w:p>
    <w:p w14:paraId="7742C365">
      <w:pPr>
        <w:spacing w:line="360" w:lineRule="auto"/>
        <w:rPr>
          <w:rFonts w:ascii="宋体" w:hAnsi="宋体" w:cs="宋体"/>
          <w:sz w:val="24"/>
          <w:szCs w:val="24"/>
        </w:rPr>
      </w:pPr>
      <w:r>
        <w:rPr>
          <w:rFonts w:hint="eastAsia" w:ascii="宋体" w:hAnsi="宋体" w:cs="宋体"/>
          <w:sz w:val="24"/>
          <w:szCs w:val="24"/>
        </w:rPr>
        <w:t>注：需同时提供法定代表人和被授权人身份证复印件，如法定代表人签署文件则无需出具授权书，仅需提供法定代表人身份证复印件</w:t>
      </w:r>
    </w:p>
    <w:bookmarkEnd w:id="174"/>
    <w:p w14:paraId="574EFFF6">
      <w:pPr>
        <w:rPr>
          <w:rFonts w:ascii="宋体" w:hAnsi="宋体" w:cs="宋体"/>
          <w:sz w:val="24"/>
          <w:szCs w:val="24"/>
        </w:rPr>
      </w:pPr>
    </w:p>
    <w:p w14:paraId="0CBE6D64">
      <w:pPr>
        <w:rPr>
          <w:rFonts w:ascii="宋体" w:hAnsi="宋体" w:cs="宋体"/>
          <w:sz w:val="24"/>
          <w:szCs w:val="24"/>
        </w:rPr>
      </w:pPr>
    </w:p>
    <w:p w14:paraId="007753D3">
      <w:pPr>
        <w:rPr>
          <w:rFonts w:hint="eastAsia" w:ascii="宋体" w:hAnsi="宋体" w:eastAsia="宋体" w:cs="宋体"/>
          <w:sz w:val="24"/>
          <w:szCs w:val="24"/>
          <w:lang w:val="en-US" w:eastAsia="zh-CN"/>
        </w:rPr>
      </w:pPr>
      <w:r>
        <w:rPr>
          <w:rFonts w:hint="eastAsia" w:ascii="宋体" w:hAnsi="宋体" w:cs="宋体"/>
          <w:sz w:val="24"/>
          <w:szCs w:val="24"/>
        </w:rPr>
        <w:t>格式</w:t>
      </w:r>
      <w:r>
        <w:rPr>
          <w:rFonts w:hint="eastAsia" w:ascii="宋体" w:hAnsi="宋体" w:cs="宋体"/>
          <w:sz w:val="24"/>
          <w:szCs w:val="24"/>
          <w:lang w:val="en-US" w:eastAsia="zh-CN"/>
        </w:rPr>
        <w:t>八</w:t>
      </w:r>
    </w:p>
    <w:p w14:paraId="7CD7657E">
      <w:pPr>
        <w:autoSpaceDE w:val="0"/>
        <w:autoSpaceDN w:val="0"/>
        <w:spacing w:line="500" w:lineRule="exact"/>
        <w:ind w:right="-5"/>
        <w:textAlignment w:val="bottom"/>
        <w:rPr>
          <w:rFonts w:ascii="宋体" w:hAnsi="宋体" w:cs="宋体"/>
          <w:sz w:val="24"/>
          <w:szCs w:val="24"/>
        </w:rPr>
      </w:pPr>
    </w:p>
    <w:p w14:paraId="6E5D9A8B">
      <w:pPr>
        <w:spacing w:line="360" w:lineRule="auto"/>
        <w:jc w:val="center"/>
        <w:rPr>
          <w:rFonts w:ascii="宋体" w:hAnsi="宋体" w:cs="宋体"/>
          <w:b/>
          <w:sz w:val="24"/>
          <w:szCs w:val="24"/>
        </w:rPr>
      </w:pPr>
      <w:r>
        <w:rPr>
          <w:rFonts w:hint="eastAsia" w:ascii="宋体" w:hAnsi="宋体" w:cs="宋体"/>
          <w:b/>
          <w:sz w:val="24"/>
          <w:szCs w:val="24"/>
        </w:rPr>
        <w:t>具备履行合同所必需的设备和专业技术能力的书面声明</w:t>
      </w:r>
    </w:p>
    <w:p w14:paraId="17FEB0F9">
      <w:pPr>
        <w:autoSpaceDE w:val="0"/>
        <w:autoSpaceDN w:val="0"/>
        <w:spacing w:line="500" w:lineRule="exact"/>
        <w:ind w:right="-5"/>
        <w:textAlignment w:val="bottom"/>
        <w:rPr>
          <w:rFonts w:ascii="宋体" w:hAnsi="宋体" w:cs="宋体"/>
          <w:b/>
          <w:sz w:val="24"/>
          <w:szCs w:val="24"/>
        </w:rPr>
      </w:pPr>
    </w:p>
    <w:p w14:paraId="20D7F848">
      <w:pPr>
        <w:spacing w:line="460" w:lineRule="exact"/>
        <w:ind w:firstLine="492"/>
        <w:rPr>
          <w:rFonts w:ascii="宋体" w:hAnsi="宋体" w:cs="宋体"/>
          <w:bCs/>
          <w:sz w:val="24"/>
          <w:szCs w:val="24"/>
        </w:rPr>
      </w:pPr>
      <w:r>
        <w:rPr>
          <w:rFonts w:hint="eastAsia" w:ascii="宋体" w:hAnsi="宋体" w:cs="宋体"/>
          <w:bCs/>
          <w:sz w:val="24"/>
          <w:szCs w:val="24"/>
        </w:rPr>
        <w:t>我单位郑重声明：我单位具备履行本项采购合同所必需的设备和专业技术能力，为履行本项采购合同我公司具备如下主要设备和主要专业技术能力：</w:t>
      </w:r>
    </w:p>
    <w:p w14:paraId="185CA1FF">
      <w:pPr>
        <w:spacing w:line="460" w:lineRule="exact"/>
        <w:ind w:firstLine="492"/>
        <w:rPr>
          <w:rFonts w:ascii="宋体" w:hAnsi="宋体" w:cs="宋体"/>
          <w:bCs/>
          <w:sz w:val="24"/>
          <w:szCs w:val="24"/>
        </w:rPr>
      </w:pPr>
      <w:r>
        <w:rPr>
          <w:rFonts w:hint="eastAsia" w:ascii="宋体" w:hAnsi="宋体" w:cs="宋体"/>
          <w:bCs/>
          <w:sz w:val="24"/>
          <w:szCs w:val="24"/>
        </w:rPr>
        <w:t>主要设备有：</w:t>
      </w:r>
      <w:r>
        <w:rPr>
          <w:rFonts w:hint="eastAsia" w:ascii="宋体" w:hAnsi="宋体" w:cs="宋体"/>
          <w:bCs/>
          <w:sz w:val="24"/>
          <w:szCs w:val="24"/>
          <w:u w:val="single"/>
        </w:rPr>
        <w:t xml:space="preserve">  </w:t>
      </w:r>
      <w:r>
        <w:rPr>
          <w:rFonts w:hint="eastAsia" w:ascii="宋体" w:hAnsi="宋体" w:cs="宋体"/>
          <w:bCs/>
          <w:sz w:val="24"/>
          <w:szCs w:val="24"/>
        </w:rPr>
        <w:t>。</w:t>
      </w:r>
    </w:p>
    <w:p w14:paraId="34BF8430">
      <w:pPr>
        <w:spacing w:line="460" w:lineRule="exact"/>
        <w:ind w:firstLine="492"/>
        <w:rPr>
          <w:rFonts w:ascii="宋体" w:hAnsi="宋体" w:cs="宋体"/>
          <w:bCs/>
          <w:sz w:val="24"/>
          <w:szCs w:val="24"/>
        </w:rPr>
      </w:pPr>
      <w:r>
        <w:rPr>
          <w:rFonts w:hint="eastAsia" w:ascii="宋体" w:hAnsi="宋体" w:cs="宋体"/>
          <w:bCs/>
          <w:sz w:val="24"/>
          <w:szCs w:val="24"/>
        </w:rPr>
        <w:t>主要专业技术能力有：</w:t>
      </w:r>
      <w:r>
        <w:rPr>
          <w:rFonts w:hint="eastAsia" w:ascii="宋体" w:hAnsi="宋体" w:cs="宋体"/>
          <w:bCs/>
          <w:sz w:val="24"/>
          <w:szCs w:val="24"/>
          <w:u w:val="single"/>
        </w:rPr>
        <w:t xml:space="preserve">   </w:t>
      </w:r>
      <w:r>
        <w:rPr>
          <w:rFonts w:hint="eastAsia" w:ascii="宋体" w:hAnsi="宋体" w:cs="宋体"/>
          <w:bCs/>
          <w:sz w:val="24"/>
          <w:szCs w:val="24"/>
        </w:rPr>
        <w:t>。</w:t>
      </w:r>
    </w:p>
    <w:p w14:paraId="323EE308">
      <w:pPr>
        <w:spacing w:line="460" w:lineRule="exact"/>
        <w:jc w:val="center"/>
        <w:rPr>
          <w:rFonts w:ascii="宋体" w:hAnsi="宋体" w:cs="宋体"/>
          <w:bCs/>
          <w:sz w:val="24"/>
          <w:szCs w:val="24"/>
        </w:rPr>
      </w:pPr>
      <w:r>
        <w:rPr>
          <w:rFonts w:hint="eastAsia" w:ascii="宋体" w:hAnsi="宋体" w:cs="宋体"/>
          <w:bCs/>
          <w:sz w:val="24"/>
          <w:szCs w:val="24"/>
        </w:rPr>
        <w:t xml:space="preserve">                                          </w:t>
      </w:r>
    </w:p>
    <w:p w14:paraId="31986939">
      <w:pPr>
        <w:spacing w:line="460" w:lineRule="exact"/>
        <w:ind w:right="480"/>
        <w:jc w:val="center"/>
        <w:rPr>
          <w:rFonts w:ascii="宋体" w:hAnsi="宋体" w:cs="宋体"/>
          <w:bCs/>
          <w:sz w:val="24"/>
          <w:szCs w:val="24"/>
        </w:rPr>
      </w:pPr>
      <w:r>
        <w:rPr>
          <w:rFonts w:hint="eastAsia" w:ascii="宋体" w:hAnsi="宋体" w:cs="宋体"/>
          <w:bCs/>
          <w:sz w:val="24"/>
          <w:szCs w:val="24"/>
        </w:rPr>
        <w:t xml:space="preserve">                                               供应商名称（公章）：</w:t>
      </w:r>
    </w:p>
    <w:p w14:paraId="3F0975D7">
      <w:pPr>
        <w:autoSpaceDE w:val="0"/>
        <w:autoSpaceDN w:val="0"/>
        <w:spacing w:line="500" w:lineRule="exact"/>
        <w:ind w:right="-5"/>
        <w:textAlignment w:val="bottom"/>
        <w:rPr>
          <w:rFonts w:ascii="宋体" w:hAnsi="宋体" w:cs="宋体"/>
          <w:b/>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 xml:space="preserve"> __</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68FA938B">
      <w:pPr>
        <w:autoSpaceDE w:val="0"/>
        <w:autoSpaceDN w:val="0"/>
        <w:spacing w:line="500" w:lineRule="exact"/>
        <w:ind w:right="-5"/>
        <w:textAlignment w:val="bottom"/>
        <w:rPr>
          <w:rFonts w:ascii="宋体" w:hAnsi="宋体" w:cs="宋体"/>
          <w:b/>
          <w:sz w:val="24"/>
          <w:szCs w:val="24"/>
        </w:rPr>
      </w:pPr>
    </w:p>
    <w:p w14:paraId="6FFB1E8C">
      <w:pPr>
        <w:rPr>
          <w:rFonts w:ascii="宋体" w:hAnsi="宋体" w:cs="宋体"/>
          <w:sz w:val="24"/>
          <w:szCs w:val="24"/>
        </w:rPr>
      </w:pPr>
      <w:r>
        <w:rPr>
          <w:rFonts w:hint="eastAsia" w:ascii="宋体" w:hAnsi="宋体" w:cs="宋体"/>
          <w:sz w:val="24"/>
          <w:szCs w:val="24"/>
        </w:rPr>
        <w:t>格式</w:t>
      </w:r>
      <w:r>
        <w:rPr>
          <w:rFonts w:hint="eastAsia" w:ascii="宋体" w:hAnsi="宋体" w:cs="宋体"/>
          <w:sz w:val="24"/>
          <w:szCs w:val="24"/>
          <w:lang w:val="en-US" w:eastAsia="zh-CN"/>
        </w:rPr>
        <w:t>九</w:t>
      </w:r>
      <w:r>
        <w:rPr>
          <w:rFonts w:hint="eastAsia" w:ascii="宋体" w:hAnsi="宋体" w:cs="宋体"/>
          <w:sz w:val="24"/>
          <w:szCs w:val="24"/>
        </w:rPr>
        <w:t>：</w:t>
      </w:r>
      <w:r>
        <w:rPr>
          <w:rFonts w:hint="eastAsia" w:ascii="宋体" w:hAnsi="宋体" w:cs="宋体"/>
          <w:b/>
          <w:sz w:val="24"/>
          <w:szCs w:val="24"/>
        </w:rPr>
        <w:t>参加政府采购活动前3年内在经营活动中没有重大违法记录的书面声明</w:t>
      </w:r>
    </w:p>
    <w:p w14:paraId="35B7AC06">
      <w:pPr>
        <w:spacing w:line="460" w:lineRule="exact"/>
        <w:rPr>
          <w:rFonts w:ascii="宋体" w:hAnsi="宋体" w:eastAsia="宋体" w:cs="宋体"/>
          <w:sz w:val="24"/>
          <w:szCs w:val="24"/>
        </w:rPr>
      </w:pPr>
      <w:r>
        <w:rPr>
          <w:rFonts w:hint="eastAsia" w:ascii="宋体" w:hAnsi="宋体" w:cs="宋体"/>
          <w:b/>
          <w:bCs/>
          <w:sz w:val="24"/>
          <w:szCs w:val="24"/>
        </w:rPr>
        <w:t xml:space="preserve">                </w:t>
      </w:r>
    </w:p>
    <w:p w14:paraId="624F3F17">
      <w:pPr>
        <w:spacing w:line="460" w:lineRule="exact"/>
        <w:jc w:val="center"/>
        <w:rPr>
          <w:rFonts w:ascii="宋体" w:hAnsi="宋体" w:cs="宋体"/>
          <w:b/>
          <w:bCs/>
          <w:sz w:val="24"/>
          <w:szCs w:val="24"/>
        </w:rPr>
      </w:pPr>
      <w:r>
        <w:rPr>
          <w:rFonts w:hint="eastAsia" w:ascii="宋体" w:hAnsi="宋体" w:cs="宋体"/>
          <w:b/>
          <w:bCs/>
          <w:sz w:val="24"/>
          <w:szCs w:val="24"/>
        </w:rPr>
        <w:t>声  明</w:t>
      </w:r>
    </w:p>
    <w:p w14:paraId="15343830">
      <w:pPr>
        <w:spacing w:line="460" w:lineRule="exact"/>
        <w:jc w:val="center"/>
        <w:rPr>
          <w:rFonts w:ascii="宋体" w:hAnsi="宋体" w:cs="宋体"/>
          <w:b/>
          <w:bCs/>
          <w:sz w:val="24"/>
          <w:szCs w:val="24"/>
        </w:rPr>
      </w:pPr>
    </w:p>
    <w:p w14:paraId="0F5C5352">
      <w:pPr>
        <w:spacing w:line="360" w:lineRule="auto"/>
        <w:rPr>
          <w:rFonts w:ascii="宋体" w:hAnsi="宋体" w:cs="宋体"/>
          <w:bCs/>
          <w:sz w:val="24"/>
          <w:szCs w:val="24"/>
        </w:rPr>
      </w:pPr>
      <w:r>
        <w:rPr>
          <w:rFonts w:hint="eastAsia" w:ascii="宋体" w:hAnsi="宋体" w:cs="宋体"/>
          <w:b/>
          <w:bCs/>
          <w:sz w:val="24"/>
          <w:szCs w:val="24"/>
        </w:rPr>
        <w:t xml:space="preserve">    </w:t>
      </w:r>
      <w:r>
        <w:rPr>
          <w:rFonts w:hint="eastAsia" w:ascii="宋体" w:hAnsi="宋体" w:cs="宋体"/>
          <w:bCs/>
          <w:sz w:val="24"/>
          <w:szCs w:val="24"/>
        </w:rPr>
        <w:t>我单位郑重声明：参加本次政府采购活动前3年内，我单位在经营活动中没有因违法经营受到刑事处罚或者责令停产停业、吊销许可证或者执照、较大数额罚款等行政处罚。</w:t>
      </w:r>
    </w:p>
    <w:p w14:paraId="63F52802">
      <w:pPr>
        <w:spacing w:line="360" w:lineRule="auto"/>
        <w:rPr>
          <w:rFonts w:ascii="宋体" w:hAnsi="宋体" w:cs="宋体"/>
          <w:bCs/>
          <w:sz w:val="24"/>
          <w:szCs w:val="24"/>
        </w:rPr>
      </w:pPr>
      <w:r>
        <w:rPr>
          <w:rFonts w:hint="eastAsia" w:ascii="宋体" w:hAnsi="宋体" w:cs="宋体"/>
          <w:bCs/>
          <w:sz w:val="24"/>
          <w:szCs w:val="24"/>
        </w:rPr>
        <w:t xml:space="preserve">                                       供应商名称（公章）：</w:t>
      </w:r>
    </w:p>
    <w:p w14:paraId="4F0CCFE8">
      <w:pPr>
        <w:autoSpaceDE w:val="0"/>
        <w:autoSpaceDN w:val="0"/>
        <w:spacing w:line="360" w:lineRule="auto"/>
        <w:ind w:right="-5"/>
        <w:textAlignment w:val="bottom"/>
        <w:rPr>
          <w:rFonts w:ascii="宋体" w:hAnsi="宋体" w:cs="宋体"/>
          <w:sz w:val="24"/>
          <w:szCs w:val="24"/>
          <w:lang w:val="zh-CN"/>
        </w:rPr>
      </w:pPr>
      <w:r>
        <w:rPr>
          <w:rFonts w:hint="eastAsia" w:ascii="宋体" w:hAnsi="宋体" w:cs="宋体"/>
          <w:bCs/>
          <w:sz w:val="24"/>
          <w:szCs w:val="24"/>
        </w:rPr>
        <w:t xml:space="preserve">                                      日期：</w:t>
      </w:r>
      <w:r>
        <w:rPr>
          <w:rFonts w:hint="eastAsia" w:ascii="宋体" w:hAnsi="宋体" w:cs="宋体"/>
          <w:bCs/>
          <w:sz w:val="24"/>
          <w:szCs w:val="24"/>
          <w:u w:val="single"/>
        </w:rPr>
        <w:t>___</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1E780D2F">
      <w:pPr>
        <w:ind w:firstLine="3373" w:firstLineChars="1400"/>
        <w:rPr>
          <w:rFonts w:hint="eastAsia" w:ascii="宋体" w:hAnsi="宋体" w:cs="宋体"/>
          <w:b/>
          <w:sz w:val="24"/>
          <w:szCs w:val="24"/>
          <w:lang w:val="zh-CN"/>
        </w:rPr>
      </w:pPr>
    </w:p>
    <w:p w14:paraId="2E8BDE69">
      <w:pPr>
        <w:ind w:firstLine="3373" w:firstLineChars="1400"/>
        <w:rPr>
          <w:rFonts w:hint="eastAsia" w:ascii="宋体" w:hAnsi="宋体" w:cs="宋体"/>
          <w:b/>
          <w:sz w:val="24"/>
          <w:szCs w:val="24"/>
          <w:lang w:val="zh-CN"/>
        </w:rPr>
      </w:pPr>
    </w:p>
    <w:p w14:paraId="0BD4EC1A">
      <w:pPr>
        <w:ind w:firstLine="3373" w:firstLineChars="1400"/>
        <w:rPr>
          <w:rFonts w:hint="eastAsia" w:ascii="宋体" w:hAnsi="宋体" w:cs="宋体"/>
          <w:b/>
          <w:sz w:val="24"/>
          <w:szCs w:val="24"/>
          <w:lang w:val="zh-CN"/>
        </w:rPr>
      </w:pPr>
    </w:p>
    <w:p w14:paraId="3990E8CC">
      <w:pPr>
        <w:ind w:firstLine="3373" w:firstLineChars="1400"/>
        <w:rPr>
          <w:rFonts w:ascii="宋体" w:hAnsi="宋体" w:cs="宋体"/>
          <w:b/>
          <w:sz w:val="24"/>
          <w:szCs w:val="24"/>
          <w:lang w:val="zh-CN"/>
        </w:rPr>
      </w:pPr>
      <w:r>
        <w:rPr>
          <w:rFonts w:hint="eastAsia" w:ascii="宋体" w:hAnsi="宋体" w:cs="宋体"/>
          <w:b/>
          <w:sz w:val="24"/>
          <w:szCs w:val="24"/>
          <w:lang w:val="zh-CN"/>
        </w:rPr>
        <w:t>风险提示函</w:t>
      </w:r>
    </w:p>
    <w:p w14:paraId="073FBB12">
      <w:pPr>
        <w:spacing w:line="360" w:lineRule="auto"/>
        <w:ind w:firstLine="480" w:firstLineChars="200"/>
        <w:rPr>
          <w:rFonts w:ascii="宋体" w:hAnsi="宋体" w:cs="宋体"/>
          <w:bCs/>
          <w:sz w:val="24"/>
          <w:szCs w:val="24"/>
          <w:lang w:val="zh-CN"/>
        </w:rPr>
      </w:pPr>
    </w:p>
    <w:p w14:paraId="32F856AA">
      <w:pPr>
        <w:spacing w:line="360" w:lineRule="auto"/>
        <w:ind w:firstLine="480" w:firstLineChars="200"/>
        <w:rPr>
          <w:rFonts w:ascii="宋体" w:hAnsi="宋体" w:cs="宋体"/>
          <w:bCs/>
          <w:sz w:val="24"/>
          <w:szCs w:val="24"/>
          <w:lang w:val="zh-CN"/>
        </w:rPr>
      </w:pPr>
      <w:r>
        <w:rPr>
          <w:rFonts w:hint="eastAsia" w:ascii="宋体" w:hAnsi="宋体" w:cs="宋体"/>
          <w:bCs/>
          <w:sz w:val="24"/>
          <w:szCs w:val="24"/>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7C218947">
      <w:pPr>
        <w:spacing w:line="360" w:lineRule="auto"/>
        <w:rPr>
          <w:rFonts w:ascii="宋体" w:hAnsi="宋体" w:cs="宋体"/>
          <w:bCs/>
          <w:sz w:val="24"/>
          <w:szCs w:val="24"/>
          <w:lang w:val="zh-CN"/>
        </w:rPr>
      </w:pPr>
    </w:p>
    <w:p w14:paraId="2D9C5A9C">
      <w:pPr>
        <w:spacing w:line="360" w:lineRule="auto"/>
        <w:rPr>
          <w:rFonts w:ascii="宋体" w:hAnsi="宋体" w:cs="宋体"/>
          <w:bCs/>
          <w:sz w:val="24"/>
          <w:szCs w:val="24"/>
          <w:lang w:val="zh-CN"/>
        </w:rPr>
      </w:pPr>
    </w:p>
    <w:p w14:paraId="624CE936">
      <w:pPr>
        <w:spacing w:line="360" w:lineRule="auto"/>
        <w:rPr>
          <w:rFonts w:ascii="宋体" w:hAnsi="宋体" w:cs="宋体"/>
          <w:bCs/>
          <w:sz w:val="24"/>
          <w:szCs w:val="24"/>
          <w:lang w:val="zh-CN"/>
        </w:rPr>
      </w:pPr>
    </w:p>
    <w:p w14:paraId="3B9BB4F4">
      <w:pPr>
        <w:spacing w:line="360" w:lineRule="auto"/>
        <w:rPr>
          <w:rFonts w:ascii="宋体" w:hAnsi="宋体" w:cs="宋体"/>
          <w:bCs/>
          <w:sz w:val="24"/>
          <w:szCs w:val="24"/>
          <w:lang w:val="zh-CN"/>
        </w:rPr>
      </w:pPr>
      <w:r>
        <w:rPr>
          <w:rFonts w:hint="eastAsia" w:ascii="宋体" w:hAnsi="宋体" w:cs="宋体"/>
          <w:bCs/>
          <w:sz w:val="24"/>
          <w:szCs w:val="24"/>
          <w:lang w:val="zh-CN"/>
        </w:rPr>
        <w:t xml:space="preserve">                      </w:t>
      </w:r>
      <w:r>
        <w:rPr>
          <w:rFonts w:hint="eastAsia" w:ascii="宋体" w:hAnsi="宋体" w:cs="宋体"/>
          <w:bCs/>
          <w:sz w:val="24"/>
          <w:szCs w:val="24"/>
        </w:rPr>
        <w:t xml:space="preserve">                     </w:t>
      </w:r>
      <w:r>
        <w:rPr>
          <w:rFonts w:hint="eastAsia" w:ascii="宋体" w:hAnsi="宋体" w:cs="宋体"/>
          <w:bCs/>
          <w:sz w:val="24"/>
          <w:szCs w:val="24"/>
          <w:lang w:val="zh-CN"/>
        </w:rPr>
        <w:t xml:space="preserve"> 南京市溧水区人民医院</w:t>
      </w:r>
    </w:p>
    <w:p w14:paraId="5F79C38A">
      <w:pPr>
        <w:spacing w:line="360" w:lineRule="auto"/>
        <w:rPr>
          <w:rFonts w:ascii="宋体" w:hAnsi="宋体" w:cs="宋体"/>
          <w:bCs/>
          <w:sz w:val="24"/>
          <w:szCs w:val="24"/>
          <w:lang w:val="zh-CN"/>
        </w:rPr>
      </w:pPr>
      <w:r>
        <w:rPr>
          <w:rFonts w:hint="eastAsia" w:ascii="宋体" w:hAnsi="宋体" w:cs="宋体"/>
          <w:bCs/>
          <w:sz w:val="24"/>
          <w:szCs w:val="24"/>
          <w:lang w:val="zh-CN"/>
        </w:rPr>
        <w:t xml:space="preserve">                       </w:t>
      </w:r>
      <w:r>
        <w:rPr>
          <w:rFonts w:hint="eastAsia" w:ascii="宋体" w:hAnsi="宋体" w:cs="宋体"/>
          <w:bCs/>
          <w:sz w:val="24"/>
          <w:szCs w:val="24"/>
        </w:rPr>
        <w:t xml:space="preserve">                       </w:t>
      </w:r>
      <w:r>
        <w:rPr>
          <w:rFonts w:hint="eastAsia" w:ascii="宋体" w:hAnsi="宋体" w:cs="宋体"/>
          <w:bCs/>
          <w:sz w:val="24"/>
          <w:szCs w:val="24"/>
          <w:lang w:val="zh-CN"/>
        </w:rPr>
        <w:t>物资采购管理中心</w:t>
      </w:r>
    </w:p>
    <w:p w14:paraId="5D4F693C">
      <w:pPr>
        <w:autoSpaceDE w:val="0"/>
        <w:autoSpaceDN w:val="0"/>
        <w:spacing w:line="500" w:lineRule="exact"/>
        <w:ind w:right="-5"/>
        <w:textAlignment w:val="bottom"/>
        <w:rPr>
          <w:rFonts w:ascii="宋体" w:hAnsi="宋体" w:cs="宋体"/>
          <w:b/>
          <w:sz w:val="24"/>
          <w:szCs w:val="24"/>
        </w:rPr>
      </w:pPr>
    </w:p>
    <w:p w14:paraId="4A851669">
      <w:pPr>
        <w:autoSpaceDE w:val="0"/>
        <w:autoSpaceDN w:val="0"/>
        <w:spacing w:line="500" w:lineRule="exact"/>
        <w:ind w:right="-5"/>
        <w:textAlignment w:val="bottom"/>
        <w:rPr>
          <w:rFonts w:ascii="宋体" w:hAnsi="宋体" w:cs="宋体"/>
          <w:b/>
          <w:sz w:val="24"/>
          <w:szCs w:val="24"/>
        </w:rPr>
      </w:pPr>
    </w:p>
    <w:bookmarkEnd w:id="160"/>
    <w:bookmarkEnd w:id="161"/>
    <w:bookmarkEnd w:id="170"/>
    <w:bookmarkEnd w:id="171"/>
    <w:bookmarkEnd w:id="172"/>
    <w:p w14:paraId="6EB99E65">
      <w:pPr>
        <w:rPr>
          <w:rFonts w:ascii="宋体" w:hAnsi="宋体" w:cs="宋体"/>
          <w:sz w:val="24"/>
          <w:szCs w:val="24"/>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2A24">
    <w:pPr>
      <w:pStyle w:val="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2B76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52B76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r>
      <w:rPr>
        <w:b/>
        <w:i/>
        <w:kern w:val="0"/>
        <w:sz w:val="20"/>
      </w:rPr>
      <w:t xml:space="preserve"> </w:t>
    </w:r>
  </w:p>
  <w:p w14:paraId="68A774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DC2A">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２</w:t>
    </w:r>
    <w:r>
      <w:fldChar w:fldCharType="end"/>
    </w:r>
  </w:p>
  <w:p w14:paraId="0D6B1D50">
    <w:pPr>
      <w:pStyle w:val="9"/>
    </w:pPr>
  </w:p>
  <w:p w14:paraId="615048A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E9BB">
    <w:pPr>
      <w:pStyle w:val="10"/>
      <w:pBdr>
        <w:bottom w:val="none" w:color="auto" w:sz="0" w:space="0"/>
      </w:pBdr>
    </w:pPr>
  </w:p>
  <w:p w14:paraId="51176A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AC2FB"/>
    <w:multiLevelType w:val="singleLevel"/>
    <w:tmpl w:val="890AC2FB"/>
    <w:lvl w:ilvl="0" w:tentative="0">
      <w:start w:val="4"/>
      <w:numFmt w:val="chineseCounting"/>
      <w:suff w:val="space"/>
      <w:lvlText w:val="第%1章"/>
      <w:lvlJc w:val="left"/>
      <w:rPr>
        <w:rFonts w:hint="eastAsia"/>
      </w:rPr>
    </w:lvl>
  </w:abstractNum>
  <w:abstractNum w:abstractNumId="1">
    <w:nsid w:val="8977C5AB"/>
    <w:multiLevelType w:val="singleLevel"/>
    <w:tmpl w:val="8977C5AB"/>
    <w:lvl w:ilvl="0" w:tentative="0">
      <w:start w:val="7"/>
      <w:numFmt w:val="chineseCounting"/>
      <w:suff w:val="nothing"/>
      <w:lvlText w:val="%1、"/>
      <w:lvlJc w:val="left"/>
      <w:rPr>
        <w:rFonts w:hint="eastAsia"/>
      </w:rPr>
    </w:lvl>
  </w:abstractNum>
  <w:abstractNum w:abstractNumId="2">
    <w:nsid w:val="BBCD319E"/>
    <w:multiLevelType w:val="singleLevel"/>
    <w:tmpl w:val="BBCD319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8F37BAA"/>
    <w:rsid w:val="00052146"/>
    <w:rsid w:val="001B4F34"/>
    <w:rsid w:val="002C36FC"/>
    <w:rsid w:val="00351934"/>
    <w:rsid w:val="005A1EEC"/>
    <w:rsid w:val="00602F9C"/>
    <w:rsid w:val="00692AB7"/>
    <w:rsid w:val="007C0A54"/>
    <w:rsid w:val="007E44A6"/>
    <w:rsid w:val="009C0722"/>
    <w:rsid w:val="009C0966"/>
    <w:rsid w:val="00A23F8C"/>
    <w:rsid w:val="00A82C33"/>
    <w:rsid w:val="00AA0419"/>
    <w:rsid w:val="00D019DF"/>
    <w:rsid w:val="00F000A5"/>
    <w:rsid w:val="022B2C0A"/>
    <w:rsid w:val="05EA4B8A"/>
    <w:rsid w:val="068D02B3"/>
    <w:rsid w:val="06C76C7A"/>
    <w:rsid w:val="07724A47"/>
    <w:rsid w:val="07754928"/>
    <w:rsid w:val="08F37BAA"/>
    <w:rsid w:val="093645B1"/>
    <w:rsid w:val="0A807B08"/>
    <w:rsid w:val="0CAD283D"/>
    <w:rsid w:val="0CE1616E"/>
    <w:rsid w:val="0F8514C8"/>
    <w:rsid w:val="10C97176"/>
    <w:rsid w:val="10F50E0D"/>
    <w:rsid w:val="118E1AEE"/>
    <w:rsid w:val="142F76AA"/>
    <w:rsid w:val="15327788"/>
    <w:rsid w:val="162216E3"/>
    <w:rsid w:val="18624A54"/>
    <w:rsid w:val="19AC242B"/>
    <w:rsid w:val="1A156B87"/>
    <w:rsid w:val="1AD713D3"/>
    <w:rsid w:val="1DCD0BC2"/>
    <w:rsid w:val="1DF603DE"/>
    <w:rsid w:val="1E7B5F69"/>
    <w:rsid w:val="2062035E"/>
    <w:rsid w:val="206C4879"/>
    <w:rsid w:val="21CE3E0A"/>
    <w:rsid w:val="226256A5"/>
    <w:rsid w:val="236035AB"/>
    <w:rsid w:val="24FE5B05"/>
    <w:rsid w:val="28237D5C"/>
    <w:rsid w:val="284A2811"/>
    <w:rsid w:val="2CDE24A4"/>
    <w:rsid w:val="312D1C4B"/>
    <w:rsid w:val="31B22151"/>
    <w:rsid w:val="3BEE2CE0"/>
    <w:rsid w:val="3C064BF0"/>
    <w:rsid w:val="3D631631"/>
    <w:rsid w:val="3DE713D4"/>
    <w:rsid w:val="3E2A2B8D"/>
    <w:rsid w:val="403F1053"/>
    <w:rsid w:val="44B231B4"/>
    <w:rsid w:val="44CF11C8"/>
    <w:rsid w:val="4870645B"/>
    <w:rsid w:val="490A38A3"/>
    <w:rsid w:val="4AC16692"/>
    <w:rsid w:val="4BFC24EE"/>
    <w:rsid w:val="4E2668EA"/>
    <w:rsid w:val="50E72179"/>
    <w:rsid w:val="51F34D31"/>
    <w:rsid w:val="528F1740"/>
    <w:rsid w:val="52C95212"/>
    <w:rsid w:val="5301519D"/>
    <w:rsid w:val="54520EFE"/>
    <w:rsid w:val="5478017D"/>
    <w:rsid w:val="54D23DEC"/>
    <w:rsid w:val="54D627D6"/>
    <w:rsid w:val="575025D5"/>
    <w:rsid w:val="57FA3D86"/>
    <w:rsid w:val="590F3861"/>
    <w:rsid w:val="5A127814"/>
    <w:rsid w:val="5A6542AA"/>
    <w:rsid w:val="5CC9436C"/>
    <w:rsid w:val="5E3877CF"/>
    <w:rsid w:val="61D03DA9"/>
    <w:rsid w:val="651E6BDA"/>
    <w:rsid w:val="670F4EBD"/>
    <w:rsid w:val="68841930"/>
    <w:rsid w:val="694F6215"/>
    <w:rsid w:val="6A5E63F6"/>
    <w:rsid w:val="6B946BA9"/>
    <w:rsid w:val="6E9E60D8"/>
    <w:rsid w:val="6F810491"/>
    <w:rsid w:val="6F994DB7"/>
    <w:rsid w:val="701D640C"/>
    <w:rsid w:val="730264C4"/>
    <w:rsid w:val="74DC6516"/>
    <w:rsid w:val="74E618BE"/>
    <w:rsid w:val="75D43393"/>
    <w:rsid w:val="75F55735"/>
    <w:rsid w:val="76467910"/>
    <w:rsid w:val="7AFE07EC"/>
    <w:rsid w:val="7EC63988"/>
    <w:rsid w:val="7F35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0"/>
    <w:pPr>
      <w:keepNext/>
      <w:jc w:val="center"/>
      <w:outlineLvl w:val="0"/>
    </w:pPr>
    <w:rPr>
      <w:rFonts w:ascii="楷体_GB2312" w:eastAsia="楷体_GB2312"/>
      <w:sz w:val="28"/>
      <w:szCs w:val="28"/>
    </w:rPr>
  </w:style>
  <w:style w:type="paragraph" w:styleId="4">
    <w:name w:val="heading 2"/>
    <w:basedOn w:val="1"/>
    <w:next w:val="5"/>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Body Text"/>
    <w:basedOn w:val="1"/>
    <w:autoRedefine/>
    <w:qFormat/>
    <w:uiPriority w:val="0"/>
    <w:rPr>
      <w:rFonts w:ascii="楷体_GB2312" w:hAnsi="Arial" w:eastAsia="楷体_GB2312"/>
      <w:sz w:val="28"/>
      <w:szCs w:val="28"/>
    </w:rPr>
  </w:style>
  <w:style w:type="paragraph" w:styleId="8">
    <w:name w:val="Plain Text"/>
    <w:basedOn w:val="1"/>
    <w:autoRedefine/>
    <w:qFormat/>
    <w:uiPriority w:val="0"/>
    <w:rPr>
      <w:rFonts w:ascii="宋体" w:hAnsi="Courier New"/>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tabs>
        <w:tab w:val="right" w:leader="dot" w:pos="8720"/>
      </w:tabs>
      <w:spacing w:before="120" w:after="120" w:line="400" w:lineRule="exact"/>
      <w:jc w:val="left"/>
    </w:pPr>
    <w:rPr>
      <w:rFonts w:ascii="宋体" w:hAnsi="宋体"/>
      <w:caps/>
      <w:sz w:val="24"/>
      <w:szCs w:val="24"/>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7"/>
    <w:autoRedefine/>
    <w:qFormat/>
    <w:uiPriority w:val="99"/>
    <w:pPr>
      <w:spacing w:line="360" w:lineRule="auto"/>
      <w:ind w:firstLine="420" w:firstLineChars="100"/>
    </w:pPr>
    <w:rPr>
      <w:rFonts w:ascii="Times New Roman" w:hAnsi="Times New Roman"/>
      <w:szCs w:val="21"/>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autoRedefine/>
    <w:qFormat/>
    <w:uiPriority w:val="0"/>
  </w:style>
  <w:style w:type="character" w:styleId="19">
    <w:name w:val="Hyperlink"/>
    <w:autoRedefine/>
    <w:qFormat/>
    <w:uiPriority w:val="0"/>
    <w:rPr>
      <w:color w:val="0000FF"/>
      <w:u w:val="single"/>
    </w:rPr>
  </w:style>
  <w:style w:type="paragraph" w:customStyle="1" w:styleId="2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1">
    <w:name w:val="Body text|1"/>
    <w:basedOn w:val="1"/>
    <w:autoRedefine/>
    <w:qFormat/>
    <w:uiPriority w:val="0"/>
    <w:pPr>
      <w:spacing w:after="60" w:line="350" w:lineRule="auto"/>
      <w:ind w:firstLine="400"/>
    </w:pPr>
    <w:rPr>
      <w:rFonts w:ascii="宋体" w:hAnsi="宋体" w:cs="宋体"/>
      <w:sz w:val="19"/>
      <w:szCs w:val="19"/>
      <w:lang w:val="zh-TW" w:eastAsia="zh-TW" w:bidi="zh-TW"/>
    </w:rPr>
  </w:style>
  <w:style w:type="paragraph" w:customStyle="1" w:styleId="22">
    <w:name w:val="Other|1"/>
    <w:basedOn w:val="1"/>
    <w:autoRedefine/>
    <w:qFormat/>
    <w:uiPriority w:val="0"/>
    <w:pPr>
      <w:spacing w:after="60" w:line="350" w:lineRule="auto"/>
      <w:ind w:firstLine="400"/>
    </w:pPr>
    <w:rPr>
      <w:rFonts w:ascii="宋体" w:hAnsi="宋体" w:cs="宋体"/>
      <w:sz w:val="19"/>
      <w:szCs w:val="19"/>
      <w:lang w:val="zh-TW" w:eastAsia="zh-TW" w:bidi="zh-TW"/>
    </w:rPr>
  </w:style>
  <w:style w:type="paragraph" w:styleId="23">
    <w:name w:val="List Paragraph"/>
    <w:basedOn w:val="1"/>
    <w:autoRedefine/>
    <w:qFormat/>
    <w:uiPriority w:val="34"/>
    <w:pPr>
      <w:ind w:firstLine="420" w:firstLineChars="200"/>
    </w:pPr>
  </w:style>
  <w:style w:type="paragraph" w:customStyle="1" w:styleId="24">
    <w:name w:val="表格"/>
    <w:basedOn w:val="1"/>
    <w:qFormat/>
    <w:uiPriority w:val="0"/>
    <w:pPr>
      <w:widowControl/>
      <w:jc w:val="center"/>
    </w:pPr>
    <w:rPr>
      <w:rFonts w:ascii="Arial" w:hAnsi="Arial" w:cs="Arial"/>
      <w:bCs/>
      <w:color w:val="000000"/>
      <w:kern w:val="0"/>
    </w:rPr>
  </w:style>
  <w:style w:type="character" w:customStyle="1" w:styleId="2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739</Words>
  <Characters>806</Characters>
  <Lines>2589</Lines>
  <Paragraphs>2219</Paragraphs>
  <TotalTime>29</TotalTime>
  <ScaleCrop>false</ScaleCrop>
  <LinksUpToDate>false</LinksUpToDate>
  <CharactersWithSpaces>816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2024-05-20T01:53:00Z</dcterms:created>
  <dc:creator>Administrator</dc:creator>
  <cp:lastModifiedBy>秦婕</cp:lastModifiedBy>
  <dcterms:modified xsi:type="dcterms:W3CDTF">2025-12-25T00:51:10Z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8D1FBBA703D1484F9C945568B77591B8_13</vt:lpwstr>
  </property>
  <property fmtid="{D5CDD505-2E9C-101B-9397-08002B2CF9AE}" pid="4" name="KSOTemplateDocerSaveRecord">
    <vt:lpwstr>eyJoZGlkIjoiM2IwNDkxZDYwNzBmMTgyYjg5NjQzNjgwZTU2OTk2ZGEiLCJ1c2VySWQiOiIyODAwNDgzNjEifQ==</vt:lpwstr>
  </property>
</Properties>
</file>