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60336">
      <w:pPr>
        <w:tabs>
          <w:tab w:val="left" w:pos="390"/>
          <w:tab w:val="center" w:pos="4404"/>
        </w:tabs>
        <w:rPr>
          <w:rFonts w:hint="eastAsia" w:ascii="黑体" w:hAnsi="宋体" w:eastAsia="黑体"/>
          <w:color w:val="000000"/>
          <w:sz w:val="76"/>
          <w:szCs w:val="76"/>
          <w:highlight w:val="none"/>
          <w:lang w:eastAsia="zh-CN"/>
        </w:rPr>
      </w:pPr>
    </w:p>
    <w:p w14:paraId="4ED61AAA">
      <w:pPr>
        <w:tabs>
          <w:tab w:val="left" w:pos="390"/>
          <w:tab w:val="center" w:pos="4404"/>
        </w:tabs>
        <w:jc w:val="center"/>
        <w:rPr>
          <w:rFonts w:hint="eastAsia" w:ascii="黑体" w:hAnsi="宋体" w:eastAsia="黑体"/>
          <w:color w:val="000000"/>
          <w:sz w:val="76"/>
          <w:szCs w:val="76"/>
          <w:highlight w:val="none"/>
        </w:rPr>
      </w:pPr>
      <w:r>
        <w:rPr>
          <w:rFonts w:hint="eastAsia" w:ascii="黑体" w:hAnsi="宋体" w:eastAsia="黑体"/>
          <w:color w:val="000000"/>
          <w:sz w:val="76"/>
          <w:szCs w:val="76"/>
          <w:highlight w:val="none"/>
        </w:rPr>
        <w:t>竞争性磋商文件</w:t>
      </w:r>
    </w:p>
    <w:p w14:paraId="06C9C2E7">
      <w:pPr>
        <w:tabs>
          <w:tab w:val="left" w:pos="390"/>
          <w:tab w:val="center" w:pos="4404"/>
        </w:tabs>
        <w:jc w:val="center"/>
        <w:rPr>
          <w:rFonts w:hint="eastAsia" w:ascii="黑体" w:hAnsi="宋体" w:eastAsia="黑体"/>
          <w:color w:val="000000"/>
          <w:sz w:val="76"/>
          <w:szCs w:val="76"/>
          <w:highlight w:val="none"/>
        </w:rPr>
      </w:pPr>
    </w:p>
    <w:p w14:paraId="0546D4EA">
      <w:pPr>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项目编号：LSRY-ZB2026-S00</w:t>
      </w:r>
      <w:r>
        <w:rPr>
          <w:rFonts w:hint="eastAsia" w:ascii="黑体" w:hAnsi="宋体" w:eastAsia="黑体"/>
          <w:color w:val="000000"/>
          <w:sz w:val="44"/>
          <w:highlight w:val="none"/>
          <w:lang w:val="en-US" w:eastAsia="zh-CN"/>
        </w:rPr>
        <w:t>5</w:t>
      </w:r>
    </w:p>
    <w:p w14:paraId="0962C2F1">
      <w:pPr>
        <w:spacing w:line="700" w:lineRule="exact"/>
        <w:rPr>
          <w:rFonts w:hint="eastAsia" w:ascii="黑体" w:hAnsi="宋体" w:eastAsia="黑体"/>
          <w:color w:val="000000"/>
          <w:sz w:val="44"/>
          <w:highlight w:val="none"/>
          <w:lang w:val="en-US" w:eastAsia="zh-CN"/>
        </w:rPr>
      </w:pPr>
      <w:r>
        <w:rPr>
          <w:rFonts w:hint="eastAsia" w:ascii="黑体" w:hAnsi="宋体" w:eastAsia="黑体"/>
          <w:color w:val="000000"/>
          <w:sz w:val="44"/>
          <w:highlight w:val="none"/>
        </w:rPr>
        <w:t>项目名称：</w:t>
      </w:r>
      <w:r>
        <w:rPr>
          <w:rFonts w:hint="eastAsia" w:ascii="黑体" w:hAnsi="宋体" w:eastAsia="黑体"/>
          <w:color w:val="000000"/>
          <w:sz w:val="44"/>
          <w:highlight w:val="none"/>
          <w:lang w:val="en-US" w:eastAsia="zh-CN"/>
        </w:rPr>
        <w:t>老年科高频振动排痰仪（第二次）</w:t>
      </w:r>
    </w:p>
    <w:p w14:paraId="2CDD584A">
      <w:pPr>
        <w:rPr>
          <w:color w:val="000000"/>
          <w:highlight w:val="none"/>
        </w:rPr>
      </w:pPr>
    </w:p>
    <w:p w14:paraId="4290E653">
      <w:pPr>
        <w:rPr>
          <w:color w:val="000000"/>
          <w:highlight w:val="none"/>
        </w:rPr>
      </w:pPr>
    </w:p>
    <w:p w14:paraId="4BE0D704">
      <w:pPr>
        <w:rPr>
          <w:color w:val="000000"/>
          <w:highlight w:val="none"/>
        </w:rPr>
      </w:pPr>
    </w:p>
    <w:p w14:paraId="0BA59EA1">
      <w:pPr>
        <w:rPr>
          <w:color w:val="000000"/>
          <w:highlight w:val="none"/>
        </w:rPr>
      </w:pPr>
    </w:p>
    <w:p w14:paraId="6BC348B9">
      <w:pPr>
        <w:rPr>
          <w:color w:val="000000"/>
          <w:highlight w:val="none"/>
        </w:rPr>
      </w:pPr>
    </w:p>
    <w:p w14:paraId="3DC9D0ED">
      <w:pPr>
        <w:rPr>
          <w:color w:val="000000"/>
          <w:highlight w:val="none"/>
        </w:rPr>
      </w:pPr>
    </w:p>
    <w:p w14:paraId="0260E759">
      <w:pPr>
        <w:ind w:firstLine="2200" w:firstLineChars="500"/>
        <w:rPr>
          <w:rFonts w:hint="eastAsia" w:ascii="黑体" w:hAnsi="宋体" w:eastAsia="黑体"/>
          <w:color w:val="000000"/>
          <w:sz w:val="44"/>
          <w:highlight w:val="none"/>
        </w:rPr>
      </w:pPr>
      <w:r>
        <w:rPr>
          <w:rFonts w:hint="eastAsia" w:ascii="黑体" w:hAnsi="宋体" w:eastAsia="黑体"/>
          <w:color w:val="000000"/>
          <w:sz w:val="44"/>
          <w:highlight w:val="none"/>
        </w:rPr>
        <w:t>南京市溧水区人民医院</w:t>
      </w:r>
    </w:p>
    <w:p w14:paraId="5A97ED3D">
      <w:pPr>
        <w:jc w:val="center"/>
        <w:rPr>
          <w:rFonts w:hint="eastAsia" w:ascii="黑体" w:hAnsi="宋体" w:eastAsia="黑体"/>
          <w:color w:val="000000"/>
          <w:sz w:val="44"/>
          <w:highlight w:val="none"/>
        </w:rPr>
      </w:pPr>
    </w:p>
    <w:p w14:paraId="117527F0">
      <w:pPr>
        <w:ind w:firstLine="3080" w:firstLineChars="700"/>
        <w:rPr>
          <w:rFonts w:hint="eastAsia" w:ascii="黑体" w:hAnsi="宋体" w:eastAsia="黑体"/>
          <w:color w:val="000000"/>
          <w:sz w:val="44"/>
          <w:highlight w:val="none"/>
        </w:rPr>
        <w:sectPr>
          <w:headerReference r:id="rId3" w:type="default"/>
          <w:footerReference r:id="rId4" w:type="default"/>
          <w:pgSz w:w="11906" w:h="16838"/>
          <w:pgMar w:top="1043" w:right="1179" w:bottom="1043" w:left="1179" w:header="851" w:footer="992" w:gutter="0"/>
          <w:cols w:space="0" w:num="1"/>
          <w:docGrid w:type="lines" w:linePitch="312" w:charSpace="0"/>
        </w:sectPr>
      </w:pPr>
      <w:r>
        <w:rPr>
          <w:rFonts w:hint="eastAsia" w:ascii="黑体" w:hAnsi="宋体" w:eastAsia="黑体"/>
          <w:color w:val="000000"/>
          <w:sz w:val="44"/>
          <w:highlight w:val="none"/>
        </w:rPr>
        <w:t>2026年</w:t>
      </w:r>
      <w:r>
        <w:rPr>
          <w:rFonts w:hint="eastAsia" w:ascii="黑体" w:hAnsi="宋体" w:eastAsia="黑体"/>
          <w:color w:val="000000"/>
          <w:sz w:val="44"/>
          <w:highlight w:val="none"/>
          <w:lang w:val="en-US" w:eastAsia="zh-CN"/>
        </w:rPr>
        <w:t>5</w:t>
      </w:r>
      <w:r>
        <w:rPr>
          <w:rFonts w:hint="eastAsia" w:ascii="黑体" w:hAnsi="宋体" w:eastAsia="黑体"/>
          <w:color w:val="000000"/>
          <w:sz w:val="44"/>
          <w:highlight w:val="none"/>
        </w:rPr>
        <w:t>月</w:t>
      </w:r>
    </w:p>
    <w:p w14:paraId="5689E672">
      <w:pPr>
        <w:spacing w:line="400" w:lineRule="exact"/>
        <w:jc w:val="center"/>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rPr>
        <w:t>第一部分  磋商</w:t>
      </w:r>
      <w:r>
        <w:rPr>
          <w:rFonts w:hint="eastAsia" w:ascii="宋体" w:hAnsi="宋体" w:eastAsia="宋体" w:cs="宋体"/>
          <w:b/>
          <w:bCs/>
          <w:color w:val="000000"/>
          <w:sz w:val="24"/>
          <w:szCs w:val="24"/>
          <w:highlight w:val="none"/>
          <w:lang w:eastAsia="zh-CN"/>
        </w:rPr>
        <w:t>公告</w:t>
      </w:r>
    </w:p>
    <w:p w14:paraId="035A8F77">
      <w:pPr>
        <w:snapToGrid w:val="0"/>
        <w:spacing w:line="240" w:lineRule="auto"/>
        <w:ind w:firstLine="400" w:firstLineChars="200"/>
        <w:rPr>
          <w:rFonts w:hint="eastAsia" w:ascii="宋体" w:hAnsi="宋体" w:cs="宋体"/>
          <w:color w:val="000000"/>
          <w:sz w:val="20"/>
          <w:szCs w:val="20"/>
          <w:highlight w:val="none"/>
        </w:rPr>
      </w:pPr>
      <w:r>
        <w:rPr>
          <w:rFonts w:hint="eastAsia" w:ascii="宋体" w:hAnsi="宋体" w:cs="宋体"/>
          <w:color w:val="000000"/>
          <w:sz w:val="20"/>
          <w:szCs w:val="20"/>
          <w:highlight w:val="none"/>
        </w:rPr>
        <w:t>依据《中华人民共和国政府采购法》等相关法律法规，我院拟对</w:t>
      </w:r>
      <w:r>
        <w:rPr>
          <w:rFonts w:hint="eastAsia" w:ascii="宋体" w:hAnsi="宋体" w:cs="宋体"/>
          <w:color w:val="000000"/>
          <w:sz w:val="20"/>
          <w:szCs w:val="20"/>
          <w:highlight w:val="none"/>
          <w:lang w:val="en-US" w:eastAsia="zh-CN"/>
        </w:rPr>
        <w:t>老年科高频振动排痰仪</w:t>
      </w:r>
      <w:r>
        <w:rPr>
          <w:rFonts w:hint="eastAsia" w:ascii="宋体" w:hAnsi="宋体" w:cs="宋体"/>
          <w:color w:val="000000"/>
          <w:sz w:val="20"/>
          <w:szCs w:val="20"/>
          <w:highlight w:val="none"/>
        </w:rPr>
        <w:t>项目进行磋商采购，欢迎具备相关资质的供应商报名参加。</w:t>
      </w:r>
    </w:p>
    <w:p w14:paraId="443E78DC">
      <w:pPr>
        <w:spacing w:line="240" w:lineRule="auto"/>
        <w:rPr>
          <w:rFonts w:hint="eastAsia" w:ascii="宋体" w:hAnsi="宋体" w:cs="宋体"/>
          <w:b/>
          <w:bCs/>
          <w:color w:val="000000"/>
          <w:sz w:val="20"/>
          <w:szCs w:val="20"/>
          <w:highlight w:val="none"/>
        </w:rPr>
      </w:pPr>
      <w:r>
        <w:rPr>
          <w:rFonts w:hint="eastAsia" w:ascii="宋体" w:hAnsi="宋体" w:cs="宋体"/>
          <w:b/>
          <w:bCs/>
          <w:color w:val="000000"/>
          <w:sz w:val="20"/>
          <w:szCs w:val="20"/>
          <w:highlight w:val="none"/>
        </w:rPr>
        <w:t>一、项目内容：</w:t>
      </w:r>
    </w:p>
    <w:p w14:paraId="5ACE027F">
      <w:pPr>
        <w:snapToGrid w:val="0"/>
        <w:spacing w:line="240" w:lineRule="auto"/>
        <w:rPr>
          <w:rFonts w:hint="eastAsia" w:ascii="宋体" w:hAnsi="宋体" w:cs="宋体"/>
          <w:b w:val="0"/>
          <w:bCs w:val="0"/>
          <w:color w:val="000000"/>
          <w:sz w:val="20"/>
          <w:szCs w:val="20"/>
          <w:highlight w:val="none"/>
          <w:lang w:val="en-US" w:eastAsia="zh-CN"/>
        </w:rPr>
      </w:pPr>
      <w:r>
        <w:rPr>
          <w:rFonts w:hint="eastAsia" w:ascii="宋体" w:hAnsi="宋体" w:cs="宋体"/>
          <w:b/>
          <w:bCs/>
          <w:color w:val="000000"/>
          <w:sz w:val="20"/>
          <w:szCs w:val="20"/>
          <w:highlight w:val="none"/>
        </w:rPr>
        <w:t>1.1项目名称</w:t>
      </w:r>
      <w:r>
        <w:rPr>
          <w:rFonts w:hint="eastAsia" w:ascii="宋体" w:hAnsi="宋体" w:cs="宋体"/>
          <w:color w:val="000000"/>
          <w:sz w:val="20"/>
          <w:szCs w:val="20"/>
          <w:highlight w:val="none"/>
        </w:rPr>
        <w:t>：</w:t>
      </w:r>
      <w:r>
        <w:rPr>
          <w:rFonts w:hint="eastAsia" w:ascii="宋体" w:hAnsi="宋体" w:cs="宋体"/>
          <w:b w:val="0"/>
          <w:bCs w:val="0"/>
          <w:color w:val="000000"/>
          <w:sz w:val="20"/>
          <w:szCs w:val="20"/>
          <w:highlight w:val="none"/>
          <w:lang w:val="en-US" w:eastAsia="zh-CN"/>
        </w:rPr>
        <w:t>老年科高频振动排痰仪（第二次）</w:t>
      </w:r>
    </w:p>
    <w:p w14:paraId="02CF9725">
      <w:pPr>
        <w:snapToGrid w:val="0"/>
        <w:spacing w:line="240" w:lineRule="auto"/>
        <w:rPr>
          <w:rFonts w:hint="eastAsia" w:ascii="宋体" w:hAnsi="宋体" w:eastAsia="宋体" w:cs="宋体"/>
          <w:color w:val="000000"/>
          <w:sz w:val="20"/>
          <w:szCs w:val="20"/>
          <w:highlight w:val="none"/>
          <w:lang w:eastAsia="zh-CN"/>
        </w:rPr>
      </w:pPr>
      <w:r>
        <w:rPr>
          <w:rFonts w:hint="eastAsia" w:ascii="宋体" w:hAnsi="宋体" w:cs="宋体"/>
          <w:b/>
          <w:bCs/>
          <w:color w:val="000000"/>
          <w:sz w:val="20"/>
          <w:szCs w:val="20"/>
          <w:highlight w:val="none"/>
        </w:rPr>
        <w:t>1.2 项目编号</w:t>
      </w:r>
      <w:r>
        <w:rPr>
          <w:rFonts w:hint="eastAsia" w:ascii="宋体" w:hAnsi="宋体" w:cs="宋体"/>
          <w:color w:val="000000"/>
          <w:sz w:val="20"/>
          <w:szCs w:val="20"/>
          <w:highlight w:val="none"/>
        </w:rPr>
        <w:t>：LSRY-ZB2026-S00</w:t>
      </w:r>
      <w:r>
        <w:rPr>
          <w:rFonts w:hint="eastAsia" w:ascii="宋体" w:hAnsi="宋体" w:cs="宋体"/>
          <w:color w:val="000000"/>
          <w:sz w:val="20"/>
          <w:szCs w:val="20"/>
          <w:highlight w:val="none"/>
          <w:lang w:val="en-US" w:eastAsia="zh-CN"/>
        </w:rPr>
        <w:t>5</w:t>
      </w:r>
    </w:p>
    <w:p w14:paraId="70E6266D">
      <w:pPr>
        <w:spacing w:line="240" w:lineRule="auto"/>
        <w:rPr>
          <w:rFonts w:hint="eastAsia" w:ascii="宋体" w:hAnsi="宋体" w:cs="宋体"/>
          <w:color w:val="000000"/>
          <w:sz w:val="20"/>
          <w:szCs w:val="20"/>
          <w:highlight w:val="none"/>
        </w:rPr>
      </w:pPr>
      <w:r>
        <w:rPr>
          <w:rFonts w:hint="eastAsia" w:ascii="宋体" w:hAnsi="宋体" w:cs="宋体"/>
          <w:b/>
          <w:bCs/>
          <w:color w:val="000000"/>
          <w:sz w:val="20"/>
          <w:szCs w:val="20"/>
          <w:highlight w:val="none"/>
        </w:rPr>
        <w:t>1.3 项目清单及预算：详见《第三部分  采购需求》</w:t>
      </w:r>
    </w:p>
    <w:p w14:paraId="38E59021">
      <w:pPr>
        <w:snapToGrid w:val="0"/>
        <w:spacing w:line="240" w:lineRule="auto"/>
        <w:rPr>
          <w:rFonts w:hint="eastAsia" w:ascii="宋体" w:hAnsi="宋体" w:cs="宋体"/>
          <w:b/>
          <w:color w:val="000000"/>
          <w:kern w:val="0"/>
          <w:sz w:val="20"/>
          <w:szCs w:val="20"/>
          <w:highlight w:val="none"/>
        </w:rPr>
      </w:pPr>
      <w:r>
        <w:rPr>
          <w:rFonts w:hint="eastAsia" w:ascii="宋体" w:hAnsi="宋体" w:cs="宋体"/>
          <w:b/>
          <w:color w:val="000000"/>
          <w:sz w:val="20"/>
          <w:szCs w:val="20"/>
          <w:highlight w:val="none"/>
        </w:rPr>
        <w:t xml:space="preserve">1.4 </w:t>
      </w:r>
      <w:r>
        <w:rPr>
          <w:rFonts w:hint="eastAsia" w:ascii="宋体" w:hAnsi="宋体" w:cs="宋体"/>
          <w:color w:val="000000"/>
          <w:sz w:val="20"/>
          <w:szCs w:val="20"/>
          <w:highlight w:val="none"/>
        </w:rPr>
        <w:t>采购方式：竞争性磋商法。共两轮报价，</w:t>
      </w:r>
      <w:r>
        <w:rPr>
          <w:rFonts w:hint="eastAsia" w:ascii="宋体" w:hAnsi="宋体" w:cs="宋体"/>
          <w:b/>
          <w:bCs/>
          <w:color w:val="000000"/>
          <w:sz w:val="20"/>
          <w:szCs w:val="20"/>
          <w:highlight w:val="none"/>
          <w:u w:val="single"/>
        </w:rPr>
        <w:t>第一轮报价直接装订在招标文件内，第二轮最终报价单，请供应商签字或盖公章，由采购方收取二轮最终报价单。</w:t>
      </w:r>
    </w:p>
    <w:p w14:paraId="50D0BD7B">
      <w:pPr>
        <w:widowControl/>
        <w:numPr>
          <w:ilvl w:val="0"/>
          <w:numId w:val="1"/>
        </w:numPr>
        <w:spacing w:line="240" w:lineRule="auto"/>
        <w:jc w:val="left"/>
        <w:rPr>
          <w:rFonts w:hint="eastAsia" w:ascii="宋体" w:hAnsi="宋体" w:cs="宋体"/>
          <w:bCs/>
          <w:color w:val="000000"/>
          <w:sz w:val="20"/>
          <w:szCs w:val="20"/>
          <w:highlight w:val="none"/>
        </w:rPr>
      </w:pPr>
      <w:r>
        <w:rPr>
          <w:rFonts w:hint="eastAsia" w:ascii="宋体" w:hAnsi="宋体" w:cs="宋体"/>
          <w:b/>
          <w:color w:val="000000"/>
          <w:kern w:val="0"/>
          <w:sz w:val="20"/>
          <w:szCs w:val="20"/>
          <w:highlight w:val="none"/>
        </w:rPr>
        <w:t>资质要求：（</w:t>
      </w:r>
      <w:r>
        <w:rPr>
          <w:rFonts w:hint="eastAsia" w:ascii="宋体" w:hAnsi="宋体" w:cs="宋体"/>
          <w:b/>
          <w:bCs/>
          <w:color w:val="000000"/>
          <w:sz w:val="20"/>
          <w:szCs w:val="20"/>
          <w:highlight w:val="none"/>
          <w:u w:val="single"/>
        </w:rPr>
        <w:t>请在2026年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15</w:t>
      </w:r>
      <w:r>
        <w:rPr>
          <w:rFonts w:hint="eastAsia" w:ascii="宋体" w:hAnsi="宋体" w:cs="宋体"/>
          <w:b/>
          <w:bCs/>
          <w:color w:val="000000"/>
          <w:sz w:val="20"/>
          <w:szCs w:val="20"/>
          <w:highlight w:val="none"/>
          <w:u w:val="single"/>
        </w:rPr>
        <w:t>日8:00-2026年</w:t>
      </w:r>
      <w:r>
        <w:rPr>
          <w:rFonts w:hint="eastAsia" w:ascii="宋体" w:hAnsi="宋体" w:cs="宋体"/>
          <w:b/>
          <w:bCs/>
          <w:color w:val="000000"/>
          <w:sz w:val="20"/>
          <w:szCs w:val="20"/>
          <w:highlight w:val="none"/>
          <w:u w:val="single"/>
          <w:lang w:val="en-US" w:eastAsia="zh-CN"/>
        </w:rPr>
        <w:t>5</w:t>
      </w:r>
      <w:r>
        <w:rPr>
          <w:rFonts w:hint="eastAsia" w:ascii="宋体" w:hAnsi="宋体" w:cs="宋体"/>
          <w:b/>
          <w:bCs/>
          <w:color w:val="000000"/>
          <w:sz w:val="20"/>
          <w:szCs w:val="20"/>
          <w:highlight w:val="none"/>
          <w:u w:val="single"/>
        </w:rPr>
        <w:t>月</w:t>
      </w:r>
      <w:r>
        <w:rPr>
          <w:rFonts w:hint="eastAsia" w:ascii="宋体" w:hAnsi="宋体" w:cs="宋体"/>
          <w:b/>
          <w:bCs/>
          <w:color w:val="000000"/>
          <w:sz w:val="20"/>
          <w:szCs w:val="20"/>
          <w:highlight w:val="none"/>
          <w:u w:val="single"/>
          <w:lang w:val="en-US" w:eastAsia="zh-CN"/>
        </w:rPr>
        <w:t>21</w:t>
      </w:r>
      <w:r>
        <w:rPr>
          <w:rFonts w:hint="eastAsia" w:ascii="宋体" w:hAnsi="宋体" w:cs="宋体"/>
          <w:b/>
          <w:bCs/>
          <w:color w:val="000000"/>
          <w:sz w:val="20"/>
          <w:szCs w:val="20"/>
          <w:highlight w:val="none"/>
          <w:u w:val="single"/>
        </w:rPr>
        <w:t>日17:30前，将符合采购文件要求的资格证明文件以Word或PDF电子文档形式发送至168673332@qq.com完成报名。邮件名称及报名文件均命名为“项目名称+供应商名称+联系电话”。报名后在南京市溧水区人民医院官网“通知公告”或“采购中心-招标公告”栏目，本项目采购公告页面下方附件处，自行下载采购文件）</w:t>
      </w:r>
    </w:p>
    <w:p w14:paraId="6CF54C14">
      <w:pPr>
        <w:widowControl/>
        <w:numPr>
          <w:ilvl w:val="0"/>
          <w:numId w:val="0"/>
        </w:numPr>
        <w:spacing w:line="240" w:lineRule="auto"/>
        <w:jc w:val="left"/>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（一） 投标人应具备《中华人民共和国政府采购法》第二十二条规定的条件，提供下列材料：</w:t>
      </w:r>
    </w:p>
    <w:p w14:paraId="19749660">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（1）具有独立承担民事责任的能力（提供法人或者其他组织的营业执照、经营许可证等证明文件和自然人的身份证明）。</w:t>
      </w:r>
    </w:p>
    <w:p w14:paraId="28B9A523">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（2）具有良好的商业信誉和健全的财务会计制度（提供参加本次政府采购活动前近一年内（至少一个月）的会计报表），</w:t>
      </w:r>
      <w:r>
        <w:rPr>
          <w:rFonts w:hint="eastAsia" w:ascii="宋体" w:hAnsi="宋体"/>
          <w:color w:val="000000"/>
          <w:sz w:val="20"/>
          <w:szCs w:val="20"/>
          <w:highlight w:val="none"/>
        </w:rPr>
        <w:t>或提供南京市政府采购供应商信用记录表暨信用承诺书原件；</w:t>
      </w:r>
    </w:p>
    <w:p w14:paraId="7500F565">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（3）具有履行合同所必需的设备和专业技术能力（根据项目需求提供相应的专业设备说明、技术管理人员情况申明、专业技术资质等），</w:t>
      </w:r>
      <w:r>
        <w:rPr>
          <w:rFonts w:hint="eastAsia" w:ascii="宋体" w:hAnsi="宋体"/>
          <w:color w:val="000000"/>
          <w:sz w:val="20"/>
          <w:szCs w:val="20"/>
          <w:highlight w:val="none"/>
        </w:rPr>
        <w:t>或提供南京市政府采购供应商信用记录表暨信用承诺书原件；</w:t>
      </w:r>
    </w:p>
    <w:p w14:paraId="40D3210C">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（4）有依法缴纳税收和社会保障资金的良好记录（提供参加政府采购活动前近一年内至少一个月依法缴纳税收和社会保障资金的相关材料），</w:t>
      </w:r>
      <w:r>
        <w:rPr>
          <w:rFonts w:hint="eastAsia" w:ascii="宋体" w:hAnsi="宋体"/>
          <w:color w:val="000000"/>
          <w:sz w:val="20"/>
          <w:szCs w:val="20"/>
          <w:highlight w:val="none"/>
        </w:rPr>
        <w:t>或提供南京市政府采购供应商信用记录表暨信用承诺书原件；</w:t>
      </w:r>
    </w:p>
    <w:p w14:paraId="7EA79ED9">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（5）参加政府采购活动前三年内，在经营活动中没有重大违法记录（提供参加政府采购活动前三年内在经营活动中没有重大违法记录的书面声明）；</w:t>
      </w:r>
    </w:p>
    <w:p w14:paraId="51095942">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（6）</w:t>
      </w:r>
      <w:r>
        <w:rPr>
          <w:rFonts w:hint="eastAsia" w:ascii="宋体" w:hAnsi="宋体" w:cs="宋体"/>
          <w:b/>
          <w:bCs/>
          <w:color w:val="000000"/>
          <w:kern w:val="0"/>
          <w:sz w:val="20"/>
          <w:szCs w:val="20"/>
          <w:highlight w:val="none"/>
        </w:rPr>
        <w:t>本项目特定的资质要求：</w:t>
      </w:r>
      <w:r>
        <w:rPr>
          <w:rFonts w:hint="eastAsia" w:ascii="宋体" w:hAnsi="宋体" w:cs="宋体"/>
          <w:bCs/>
          <w:color w:val="000000"/>
          <w:sz w:val="20"/>
          <w:szCs w:val="20"/>
          <w:highlight w:val="none"/>
        </w:rPr>
        <w:t>属于疗器械范围的提供医疗器械注册证、供应商需提供医疗器械经营许可证，若投标供应商为生产商，须提供《医疗器械生产许可证》。</w:t>
      </w:r>
    </w:p>
    <w:p w14:paraId="1AFA9427">
      <w:pPr>
        <w:pStyle w:val="11"/>
        <w:numPr>
          <w:ilvl w:val="0"/>
          <w:numId w:val="0"/>
        </w:num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（7）提供</w:t>
      </w:r>
      <w:r>
        <w:rPr>
          <w:rFonts w:hint="eastAsia" w:ascii="宋体" w:hAnsi="宋体" w:cs="宋体"/>
          <w:bCs/>
          <w:color w:val="000000"/>
          <w:sz w:val="20"/>
          <w:szCs w:val="20"/>
          <w:highlight w:val="none"/>
          <w:lang w:val="zh-CN"/>
        </w:rPr>
        <w:t>法定代表人身份证复印件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，如果是委托被授权人参加现场开标，还需提供</w:t>
      </w:r>
      <w:r>
        <w:rPr>
          <w:rFonts w:hint="eastAsia" w:ascii="宋体" w:hAnsi="宋体" w:cs="宋体"/>
          <w:bCs/>
          <w:color w:val="000000"/>
          <w:sz w:val="20"/>
          <w:szCs w:val="20"/>
          <w:highlight w:val="none"/>
        </w:rPr>
        <w:t>法定代表人授权书并加盖投标单位公章、</w:t>
      </w:r>
      <w:r>
        <w:rPr>
          <w:rFonts w:hint="eastAsia" w:ascii="宋体" w:hAnsi="宋体" w:cs="宋体"/>
          <w:bCs/>
          <w:color w:val="000000"/>
          <w:sz w:val="20"/>
          <w:szCs w:val="20"/>
          <w:highlight w:val="none"/>
          <w:lang w:val="zh-CN"/>
        </w:rPr>
        <w:t>被授权人身份证复印件</w:t>
      </w:r>
      <w:r>
        <w:rPr>
          <w:rFonts w:hint="eastAsia" w:ascii="宋体" w:hAnsi="宋体" w:cs="宋体"/>
          <w:b/>
          <w:color w:val="000000"/>
          <w:sz w:val="20"/>
          <w:szCs w:val="20"/>
          <w:highlight w:val="none"/>
          <w:lang w:val="zh-CN"/>
        </w:rPr>
        <w:t>（有效期内）</w:t>
      </w:r>
      <w:r>
        <w:rPr>
          <w:rFonts w:hint="eastAsia" w:ascii="宋体" w:hAnsi="宋体" w:cs="宋体"/>
          <w:bCs/>
          <w:color w:val="000000"/>
          <w:sz w:val="20"/>
          <w:szCs w:val="20"/>
          <w:highlight w:val="none"/>
        </w:rPr>
        <w:t>并加盖投标单位公章</w:t>
      </w:r>
      <w:r>
        <w:rPr>
          <w:rFonts w:hint="eastAsia" w:ascii="宋体" w:hAnsi="宋体" w:cs="宋体"/>
          <w:bCs/>
          <w:color w:val="000000"/>
          <w:sz w:val="20"/>
          <w:szCs w:val="20"/>
          <w:highlight w:val="none"/>
          <w:lang w:val="zh-CN"/>
        </w:rPr>
        <w:t>。</w:t>
      </w:r>
      <w:r>
        <w:rPr>
          <w:rFonts w:hint="eastAsia" w:ascii="宋体" w:hAnsi="宋体" w:cs="宋体"/>
          <w:b/>
          <w:color w:val="000000"/>
          <w:sz w:val="20"/>
          <w:szCs w:val="20"/>
          <w:highlight w:val="none"/>
          <w:lang w:val="zh-CN"/>
        </w:rPr>
        <w:t>注：授权书内容应载明授权投标产品的具体品种</w:t>
      </w:r>
      <w:r>
        <w:rPr>
          <w:rFonts w:hint="eastAsia" w:ascii="宋体" w:hAnsi="宋体" w:cs="宋体"/>
          <w:bCs/>
          <w:color w:val="000000"/>
          <w:sz w:val="20"/>
          <w:szCs w:val="20"/>
          <w:highlight w:val="none"/>
          <w:lang w:val="zh-CN"/>
        </w:rPr>
        <w:t>。（格式详见附件）</w:t>
      </w:r>
    </w:p>
    <w:p w14:paraId="4B4CC133">
      <w:pPr>
        <w:snapToGrid w:val="0"/>
        <w:spacing w:line="240" w:lineRule="auto"/>
        <w:rPr>
          <w:rFonts w:hint="eastAsia" w:ascii="宋体" w:hAnsi="宋体" w:cs="宋体"/>
          <w:b/>
          <w:color w:val="000000"/>
          <w:sz w:val="20"/>
          <w:szCs w:val="20"/>
          <w:highlight w:val="none"/>
        </w:rPr>
      </w:pPr>
      <w:r>
        <w:rPr>
          <w:rFonts w:hint="eastAsia" w:ascii="宋体" w:hAnsi="宋体" w:cs="宋体"/>
          <w:bCs/>
          <w:color w:val="000000"/>
          <w:sz w:val="20"/>
          <w:szCs w:val="20"/>
          <w:highlight w:val="none"/>
        </w:rPr>
        <w:t>（二）下列供应商不得参加本次采购活动：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（1）供应商单位负责人为同一人或者存在直接控股、管理关系的不同供应商，不得参加同一合同项下的政府采购活动。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（2）凡为采购项目提供整体设计、规范编制或者项目管理、监理、检测等服务的供应商，不得再参加本项目的采购活动。</w:t>
      </w:r>
      <w:r>
        <w:rPr>
          <w:rFonts w:hint="eastAsia" w:ascii="宋体" w:hAnsi="宋体" w:cs="宋体"/>
          <w:bCs/>
          <w:color w:val="000000"/>
          <w:sz w:val="20"/>
          <w:szCs w:val="20"/>
          <w:highlight w:val="none"/>
        </w:rPr>
        <w:br w:type="textWrapping"/>
      </w:r>
      <w:r>
        <w:rPr>
          <w:rFonts w:hint="eastAsia" w:ascii="宋体" w:hAnsi="宋体" w:cs="宋体"/>
          <w:bCs/>
          <w:color w:val="000000"/>
          <w:sz w:val="20"/>
          <w:szCs w:val="20"/>
          <w:highlight w:val="none"/>
        </w:rPr>
        <w:t>（3）供应商被“信用中国”网站（www.creditchina.gov.cn）、“中国政府采购网”(www.ccgp.gov.cn)列入失信被执行人、重大税收违法案件当事人名单、政府采购严重违法失信行为记录名单。</w:t>
      </w:r>
    </w:p>
    <w:p w14:paraId="5A9CA09C">
      <w:pPr>
        <w:snapToGrid w:val="0"/>
        <w:spacing w:line="240" w:lineRule="auto"/>
        <w:rPr>
          <w:rFonts w:hint="eastAsia" w:ascii="宋体" w:hAnsi="宋体" w:cs="宋体"/>
          <w:b/>
          <w:color w:val="000000"/>
          <w:sz w:val="20"/>
          <w:szCs w:val="20"/>
          <w:highlight w:val="none"/>
        </w:rPr>
      </w:pPr>
      <w:r>
        <w:rPr>
          <w:rFonts w:hint="eastAsia" w:ascii="宋体" w:hAnsi="宋体" w:cs="宋体"/>
          <w:b/>
          <w:color w:val="000000"/>
          <w:sz w:val="20"/>
          <w:szCs w:val="20"/>
          <w:highlight w:val="none"/>
        </w:rPr>
        <w:t>三、投标文件接收、开标时间及地点</w:t>
      </w:r>
    </w:p>
    <w:p w14:paraId="45CA6DC4">
      <w:pPr>
        <w:snapToGrid w:val="0"/>
        <w:spacing w:line="240" w:lineRule="auto"/>
        <w:rPr>
          <w:rFonts w:hint="eastAsia" w:ascii="宋体" w:hAnsi="宋体" w:cs="宋体"/>
          <w:bCs/>
          <w:color w:val="000000"/>
          <w:sz w:val="20"/>
          <w:szCs w:val="20"/>
          <w:highlight w:val="none"/>
        </w:rPr>
      </w:pPr>
      <w:r>
        <w:rPr>
          <w:rFonts w:hint="eastAsia" w:ascii="宋体" w:hAnsi="宋体" w:cs="宋体"/>
          <w:bCs/>
          <w:color w:val="000000"/>
          <w:sz w:val="20"/>
          <w:szCs w:val="20"/>
          <w:highlight w:val="none"/>
        </w:rPr>
        <w:t>投标文件编制要求：</w:t>
      </w:r>
      <w:r>
        <w:rPr>
          <w:rFonts w:hint="eastAsia" w:ascii="宋体" w:hAnsi="宋体" w:cs="宋体"/>
          <w:b/>
          <w:color w:val="000000"/>
          <w:sz w:val="20"/>
          <w:szCs w:val="20"/>
          <w:highlight w:val="none"/>
          <w:u w:val="single"/>
        </w:rPr>
        <w:t>胶装成册、标注页码、目录页、评分索引页、资质索引页、一式四份（一正三副）</w:t>
      </w:r>
    </w:p>
    <w:p w14:paraId="01E1E407">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投标文件接收截止时间、开标时间：</w:t>
      </w:r>
    </w:p>
    <w:p w14:paraId="51F5A2A1">
      <w:pPr>
        <w:widowControl/>
        <w:adjustRightInd w:val="0"/>
        <w:snapToGrid w:val="0"/>
        <w:spacing w:line="240" w:lineRule="auto"/>
        <w:jc w:val="left"/>
        <w:rPr>
          <w:rFonts w:hint="eastAsia" w:ascii="宋体" w:hAnsi="宋体" w:cs="宋体"/>
          <w:color w:val="000000"/>
          <w:sz w:val="20"/>
          <w:szCs w:val="20"/>
          <w:highlight w:val="none"/>
        </w:rPr>
      </w:pPr>
      <w:r>
        <w:rPr>
          <w:rFonts w:hint="eastAsia" w:ascii="宋体" w:hAnsi="宋体" w:cs="宋体"/>
          <w:b/>
          <w:bCs/>
          <w:color w:val="000000"/>
          <w:sz w:val="20"/>
          <w:szCs w:val="20"/>
          <w:highlight w:val="none"/>
        </w:rPr>
        <w:t>2026年</w:t>
      </w:r>
      <w:r>
        <w:rPr>
          <w:rFonts w:hint="eastAsia" w:ascii="宋体" w:hAnsi="宋体" w:cs="宋体"/>
          <w:b/>
          <w:bCs/>
          <w:color w:val="000000"/>
          <w:sz w:val="20"/>
          <w:szCs w:val="20"/>
          <w:highlight w:val="none"/>
          <w:lang w:val="en-US" w:eastAsia="zh-CN"/>
        </w:rPr>
        <w:t>5</w:t>
      </w:r>
      <w:r>
        <w:rPr>
          <w:rFonts w:hint="eastAsia" w:ascii="宋体" w:hAnsi="宋体" w:cs="宋体"/>
          <w:b/>
          <w:bCs/>
          <w:color w:val="000000"/>
          <w:sz w:val="20"/>
          <w:szCs w:val="20"/>
          <w:highlight w:val="none"/>
        </w:rPr>
        <w:t>月</w:t>
      </w:r>
      <w:r>
        <w:rPr>
          <w:rFonts w:hint="eastAsia" w:ascii="宋体" w:hAnsi="宋体" w:cs="宋体"/>
          <w:b/>
          <w:bCs/>
          <w:color w:val="000000"/>
          <w:sz w:val="20"/>
          <w:szCs w:val="20"/>
          <w:highlight w:val="none"/>
          <w:lang w:val="en-US" w:eastAsia="zh-CN"/>
        </w:rPr>
        <w:t>25</w:t>
      </w:r>
      <w:r>
        <w:rPr>
          <w:rFonts w:hint="eastAsia" w:ascii="宋体" w:hAnsi="宋体" w:cs="宋体"/>
          <w:b/>
          <w:bCs/>
          <w:color w:val="000000"/>
          <w:sz w:val="20"/>
          <w:szCs w:val="20"/>
          <w:highlight w:val="none"/>
        </w:rPr>
        <w:t>日</w:t>
      </w:r>
      <w:r>
        <w:rPr>
          <w:rFonts w:hint="eastAsia" w:ascii="宋体" w:hAnsi="宋体" w:cs="宋体"/>
          <w:b/>
          <w:bCs/>
          <w:color w:val="000000"/>
          <w:sz w:val="20"/>
          <w:szCs w:val="20"/>
          <w:highlight w:val="none"/>
          <w:lang w:val="en-US" w:eastAsia="zh-CN"/>
        </w:rPr>
        <w:t>14</w:t>
      </w:r>
      <w:r>
        <w:rPr>
          <w:rFonts w:hint="eastAsia" w:ascii="宋体" w:hAnsi="宋体" w:cs="宋体"/>
          <w:b/>
          <w:bCs/>
          <w:color w:val="000000"/>
          <w:sz w:val="20"/>
          <w:szCs w:val="20"/>
          <w:highlight w:val="none"/>
        </w:rPr>
        <w:t>:</w:t>
      </w:r>
      <w:r>
        <w:rPr>
          <w:rFonts w:hint="eastAsia" w:ascii="宋体" w:hAnsi="宋体" w:cs="宋体"/>
          <w:b/>
          <w:bCs/>
          <w:color w:val="000000"/>
          <w:sz w:val="20"/>
          <w:szCs w:val="20"/>
          <w:highlight w:val="none"/>
          <w:lang w:val="en-US" w:eastAsia="zh-CN"/>
        </w:rPr>
        <w:t>3</w:t>
      </w:r>
      <w:r>
        <w:rPr>
          <w:rFonts w:hint="eastAsia" w:ascii="宋体" w:hAnsi="宋体" w:cs="宋体"/>
          <w:b/>
          <w:bCs/>
          <w:color w:val="000000"/>
          <w:sz w:val="20"/>
          <w:szCs w:val="20"/>
          <w:highlight w:val="none"/>
        </w:rPr>
        <w:t>0</w:t>
      </w:r>
      <w:r>
        <w:rPr>
          <w:rFonts w:hint="eastAsia" w:ascii="宋体" w:hAnsi="宋体" w:cs="宋体"/>
          <w:color w:val="000000"/>
          <w:sz w:val="20"/>
          <w:szCs w:val="20"/>
          <w:highlight w:val="none"/>
        </w:rPr>
        <w:t>（请于</w:t>
      </w:r>
      <w:r>
        <w:rPr>
          <w:rFonts w:hint="eastAsia" w:ascii="宋体" w:hAnsi="宋体" w:cs="宋体"/>
          <w:color w:val="000000"/>
          <w:sz w:val="20"/>
          <w:szCs w:val="20"/>
          <w:highlight w:val="none"/>
          <w:lang w:val="en-US" w:eastAsia="zh-CN"/>
        </w:rPr>
        <w:t>14</w:t>
      </w:r>
      <w:r>
        <w:rPr>
          <w:rFonts w:hint="eastAsia" w:ascii="宋体" w:hAnsi="宋体" w:cs="宋体"/>
          <w:color w:val="000000"/>
          <w:sz w:val="20"/>
          <w:szCs w:val="20"/>
          <w:highlight w:val="none"/>
        </w:rPr>
        <w:t>:</w:t>
      </w:r>
      <w:r>
        <w:rPr>
          <w:rFonts w:hint="eastAsia" w:ascii="宋体" w:hAnsi="宋体" w:cs="宋体"/>
          <w:color w:val="000000"/>
          <w:sz w:val="20"/>
          <w:szCs w:val="20"/>
          <w:highlight w:val="none"/>
          <w:lang w:val="en-US" w:eastAsia="zh-CN"/>
        </w:rPr>
        <w:t>3</w:t>
      </w:r>
      <w:r>
        <w:rPr>
          <w:rFonts w:hint="eastAsia" w:ascii="宋体" w:hAnsi="宋体" w:cs="宋体"/>
          <w:color w:val="000000"/>
          <w:sz w:val="20"/>
          <w:szCs w:val="20"/>
          <w:highlight w:val="none"/>
        </w:rPr>
        <w:t>0前到场签到，过时取消资格）</w:t>
      </w:r>
    </w:p>
    <w:p w14:paraId="576CDC45">
      <w:pPr>
        <w:snapToGrid w:val="0"/>
        <w:spacing w:line="240" w:lineRule="auto"/>
        <w:rPr>
          <w:rFonts w:hint="eastAsia" w:ascii="宋体" w:hAnsi="宋体" w:cs="宋体"/>
          <w:color w:val="000000"/>
          <w:sz w:val="20"/>
          <w:szCs w:val="20"/>
          <w:highlight w:val="none"/>
        </w:rPr>
      </w:pPr>
      <w:r>
        <w:rPr>
          <w:rFonts w:hint="eastAsia" w:ascii="宋体" w:hAnsi="宋体" w:cs="宋体"/>
          <w:color w:val="000000"/>
          <w:sz w:val="20"/>
          <w:szCs w:val="20"/>
          <w:highlight w:val="none"/>
        </w:rPr>
        <w:t>投标文件接收地点、开标地点：溧水区人民医院行政楼（5号楼）5楼会议室</w:t>
      </w:r>
    </w:p>
    <w:p w14:paraId="064B357C">
      <w:pPr>
        <w:snapToGrid w:val="0"/>
        <w:spacing w:line="240" w:lineRule="auto"/>
        <w:rPr>
          <w:rFonts w:hint="eastAsia" w:ascii="宋体" w:hAnsi="宋体" w:cs="宋体"/>
          <w:b/>
          <w:bCs/>
          <w:color w:val="000000"/>
          <w:sz w:val="20"/>
          <w:szCs w:val="20"/>
          <w:highlight w:val="none"/>
          <w:lang w:val="zh-CN"/>
        </w:rPr>
      </w:pPr>
      <w:r>
        <w:rPr>
          <w:rFonts w:hint="eastAsia" w:ascii="宋体" w:hAnsi="宋体" w:cs="宋体"/>
          <w:bCs/>
          <w:iCs/>
          <w:color w:val="000000"/>
          <w:sz w:val="20"/>
          <w:szCs w:val="20"/>
          <w:highlight w:val="none"/>
        </w:rPr>
        <w:t>招标事宜咨询电话：025-56232160 冯老师（采购中心）</w:t>
      </w:r>
    </w:p>
    <w:p w14:paraId="4B5C3122">
      <w:pPr>
        <w:widowControl/>
        <w:adjustRightInd w:val="0"/>
        <w:snapToGrid w:val="0"/>
        <w:spacing w:line="240" w:lineRule="auto"/>
        <w:jc w:val="left"/>
        <w:rPr>
          <w:rFonts w:hint="eastAsia" w:ascii="宋体" w:hAnsi="宋体" w:cs="宋体"/>
          <w:b/>
          <w:bCs/>
          <w:color w:val="000000"/>
          <w:sz w:val="20"/>
          <w:szCs w:val="20"/>
          <w:highlight w:val="none"/>
          <w:lang w:val="zh-CN"/>
        </w:rPr>
      </w:pPr>
      <w:r>
        <w:rPr>
          <w:rFonts w:hint="eastAsia" w:ascii="宋体" w:hAnsi="宋体" w:cs="宋体"/>
          <w:color w:val="000000"/>
          <w:sz w:val="20"/>
          <w:szCs w:val="20"/>
          <w:highlight w:val="none"/>
        </w:rPr>
        <w:t>项目需求事宜：025-56232024 王主任（临床医学工程部）</w:t>
      </w:r>
    </w:p>
    <w:p w14:paraId="2AD5D11A">
      <w:pPr>
        <w:spacing w:line="240" w:lineRule="auto"/>
        <w:ind w:firstLine="3654" w:firstLineChars="1300"/>
        <w:rPr>
          <w:rFonts w:hint="eastAsia" w:ascii="宋体" w:hAnsi="宋体" w:cs="宋体"/>
          <w:b/>
          <w:bCs/>
          <w:color w:val="000000"/>
          <w:sz w:val="28"/>
          <w:szCs w:val="28"/>
          <w:highlight w:val="none"/>
          <w:lang w:val="zh-CN"/>
        </w:rPr>
      </w:pPr>
      <w:r>
        <w:rPr>
          <w:rFonts w:hint="eastAsia" w:ascii="宋体" w:hAnsi="宋体" w:cs="宋体"/>
          <w:b/>
          <w:bCs/>
          <w:color w:val="000000"/>
          <w:sz w:val="28"/>
          <w:szCs w:val="28"/>
          <w:highlight w:val="none"/>
          <w:lang w:val="zh-CN"/>
        </w:rPr>
        <w:t>第二部分  磋商须知</w:t>
      </w:r>
    </w:p>
    <w:p w14:paraId="67C38D9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一、总    则</w:t>
      </w:r>
    </w:p>
    <w:p w14:paraId="541AB33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1、适用法律</w:t>
      </w:r>
    </w:p>
    <w:p w14:paraId="1F5A2005">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1.1 《中华人民共和国政府采购法》、《中华人民共和国政府采购法实施条例》、《政府采购非采购人式管理办法》等有关法律、规章和规定等。</w:t>
      </w:r>
    </w:p>
    <w:p w14:paraId="5F8B2DE4">
      <w:pPr>
        <w:autoSpaceDE w:val="0"/>
        <w:autoSpaceDN w:val="0"/>
        <w:adjustRightInd w:val="0"/>
        <w:snapToGrid w:val="0"/>
        <w:spacing w:line="240" w:lineRule="auto"/>
        <w:ind w:firstLine="420"/>
        <w:outlineLvl w:val="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2、定义</w:t>
      </w:r>
    </w:p>
    <w:p w14:paraId="796C6801">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2.1 “供应商”</w:t>
      </w:r>
      <w:r>
        <w:rPr>
          <w:rFonts w:hint="eastAsia" w:ascii="宋体" w:hAnsi="宋体" w:cs="宋体"/>
          <w:color w:val="000000"/>
          <w:sz w:val="15"/>
          <w:szCs w:val="15"/>
          <w:highlight w:val="none"/>
        </w:rPr>
        <w:t>是指参加磋商竞争，并符合本采购文件规定资格条件的法人、其他组织。</w:t>
      </w:r>
    </w:p>
    <w:p w14:paraId="4EDEE8F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2.2 “货物和服务”指本采购文件中所述产品及相关服务。</w:t>
      </w:r>
    </w:p>
    <w:p w14:paraId="589B6C0C">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2.3 “用户或使用单位”是指使用产品及服务的单位。</w:t>
      </w:r>
    </w:p>
    <w:p w14:paraId="5D8CE3EC">
      <w:pPr>
        <w:autoSpaceDE w:val="0"/>
        <w:autoSpaceDN w:val="0"/>
        <w:adjustRightInd w:val="0"/>
        <w:snapToGrid w:val="0"/>
        <w:spacing w:line="240" w:lineRule="auto"/>
        <w:ind w:firstLine="420"/>
        <w:rPr>
          <w:rFonts w:hint="eastAsia" w:ascii="宋体" w:hAnsi="宋体" w:cs="宋体"/>
          <w:bCs/>
          <w:color w:val="000000"/>
          <w:sz w:val="15"/>
          <w:szCs w:val="15"/>
          <w:highlight w:val="none"/>
        </w:rPr>
      </w:pPr>
      <w:r>
        <w:rPr>
          <w:rFonts w:hint="eastAsia" w:ascii="宋体" w:hAnsi="宋体" w:cs="宋体"/>
          <w:color w:val="000000"/>
          <w:sz w:val="15"/>
          <w:szCs w:val="15"/>
          <w:highlight w:val="none"/>
          <w:lang w:val="zh-CN"/>
        </w:rPr>
        <w:t>3、</w:t>
      </w:r>
      <w:r>
        <w:rPr>
          <w:rFonts w:hint="eastAsia" w:ascii="宋体" w:hAnsi="宋体" w:cs="宋体"/>
          <w:bCs/>
          <w:color w:val="000000"/>
          <w:sz w:val="15"/>
          <w:szCs w:val="15"/>
          <w:highlight w:val="none"/>
        </w:rPr>
        <w:t>促进中小企业发展政策</w:t>
      </w:r>
    </w:p>
    <w:p w14:paraId="0110AD3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color w:val="000000"/>
          <w:sz w:val="15"/>
          <w:szCs w:val="15"/>
          <w:highlight w:val="none"/>
        </w:rPr>
        <w:t>①本项目为非专门面向中小</w:t>
      </w:r>
      <w:r>
        <w:rPr>
          <w:rFonts w:hint="eastAsia" w:ascii="宋体" w:hAnsi="宋体" w:cs="宋体"/>
          <w:bCs/>
          <w:color w:val="000000"/>
          <w:sz w:val="15"/>
          <w:szCs w:val="15"/>
          <w:highlight w:val="none"/>
        </w:rPr>
        <w:t>微企业的项目，对</w:t>
      </w:r>
      <w:r>
        <w:rPr>
          <w:rFonts w:hint="eastAsia" w:ascii="宋体" w:hAnsi="宋体" w:cs="宋体"/>
          <w:color w:val="000000"/>
          <w:sz w:val="15"/>
          <w:szCs w:val="15"/>
          <w:highlight w:val="none"/>
        </w:rPr>
        <w:t>小型和微型企业</w:t>
      </w:r>
      <w:r>
        <w:rPr>
          <w:rFonts w:hint="eastAsia" w:ascii="宋体" w:hAnsi="宋体" w:cs="宋体"/>
          <w:bCs/>
          <w:color w:val="000000"/>
          <w:sz w:val="15"/>
          <w:szCs w:val="15"/>
          <w:highlight w:val="none"/>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77D251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在政府采购活动中，投标人提供的货物、工程或者服务符合下列情形的，享受价格扣除：</w:t>
      </w:r>
    </w:p>
    <w:p w14:paraId="5A89B342">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在货物采购项目中，货物由小微企业制造，即货物由小微企业生产且使用该小微企业商号或者注册商标；</w:t>
      </w:r>
    </w:p>
    <w:p w14:paraId="6FAEE46F">
      <w:pPr>
        <w:numPr>
          <w:ilvl w:val="0"/>
          <w:numId w:val="2"/>
        </w:num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在服务采购项目中，服务由小微企业承接，即提供服务的人员为小微企业依照《中华人民共和国劳动合同法》订立劳动合同的从业人员。</w:t>
      </w:r>
    </w:p>
    <w:p w14:paraId="237E610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425CEFD5">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2699141">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6F61A0B">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④残疾人福利单位、监狱企业属于小型、微型企业的，不重复享受政策。</w:t>
      </w:r>
    </w:p>
    <w:p w14:paraId="4A51F103">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4497E8D7">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2CC5766">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投标产品如为节能产品的，投标人需提供产品及型号所在清单页的复印件并用标识标明，如未提供，评委会</w:t>
      </w:r>
      <w:r>
        <w:rPr>
          <w:rFonts w:hint="eastAsia" w:ascii="宋体" w:hAnsi="宋体" w:cs="宋体"/>
          <w:color w:val="000000"/>
          <w:sz w:val="15"/>
          <w:szCs w:val="15"/>
          <w:highlight w:val="none"/>
        </w:rPr>
        <w:t>将仅按</w:t>
      </w:r>
      <w:r>
        <w:rPr>
          <w:rFonts w:hint="eastAsia" w:ascii="宋体" w:hAnsi="宋体" w:cs="宋体"/>
          <w:bCs/>
          <w:color w:val="000000"/>
          <w:sz w:val="15"/>
          <w:szCs w:val="15"/>
          <w:highlight w:val="none"/>
        </w:rPr>
        <w:t>可明确进行价格扣除的内容进行扣除。</w:t>
      </w:r>
    </w:p>
    <w:p w14:paraId="4441AEFC">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26E2C59A">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评标委员会根据投标人填制的《环境标志产品报价表》（格式自拟），计算其所投环境标志产品享受价格折扣部分的多少，如未提供或价格数据不全（必须包括产品名称、单价数量明细和汇总报价），评委会</w:t>
      </w:r>
      <w:r>
        <w:rPr>
          <w:rFonts w:hint="eastAsia" w:ascii="宋体" w:hAnsi="宋体" w:cs="宋体"/>
          <w:color w:val="000000"/>
          <w:sz w:val="15"/>
          <w:szCs w:val="15"/>
          <w:highlight w:val="none"/>
        </w:rPr>
        <w:t>将仅</w:t>
      </w:r>
      <w:r>
        <w:rPr>
          <w:rFonts w:hint="eastAsia" w:ascii="宋体" w:hAnsi="宋体" w:cs="宋体"/>
          <w:bCs/>
          <w:color w:val="000000"/>
          <w:sz w:val="15"/>
          <w:szCs w:val="15"/>
          <w:highlight w:val="none"/>
        </w:rPr>
        <w:t>按可明确进行价格扣除的内容进行扣除。</w:t>
      </w:r>
    </w:p>
    <w:p w14:paraId="64C3666E">
      <w:pPr>
        <w:tabs>
          <w:tab w:val="left" w:pos="8200"/>
        </w:tabs>
        <w:spacing w:line="240" w:lineRule="auto"/>
        <w:ind w:firstLine="300" w:firstLineChars="200"/>
        <w:rPr>
          <w:rFonts w:hint="eastAsia" w:ascii="宋体" w:hAnsi="宋体" w:cs="宋体"/>
          <w:bCs/>
          <w:color w:val="000000"/>
          <w:sz w:val="15"/>
          <w:szCs w:val="15"/>
          <w:highlight w:val="none"/>
        </w:rPr>
      </w:pPr>
      <w:r>
        <w:rPr>
          <w:rFonts w:hint="eastAsia" w:ascii="宋体" w:hAnsi="宋体" w:cs="宋体"/>
          <w:bCs/>
          <w:color w:val="000000"/>
          <w:sz w:val="15"/>
          <w:szCs w:val="15"/>
          <w:highlight w:val="none"/>
        </w:rPr>
        <w:t>投标产品如为环境标志产品的，投标人需提供产品及型号所在清单页的复印件并用标识标明，如未提供，评委会将仅按可明确进行价格扣除的内容进行扣除。</w:t>
      </w:r>
    </w:p>
    <w:p w14:paraId="373D80B9">
      <w:pPr>
        <w:autoSpaceDE w:val="0"/>
        <w:autoSpaceDN w:val="0"/>
        <w:adjustRightInd w:val="0"/>
        <w:snapToGrid w:val="0"/>
        <w:spacing w:line="240" w:lineRule="auto"/>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二、</w:t>
      </w:r>
      <w:r>
        <w:rPr>
          <w:rFonts w:hint="eastAsia" w:ascii="宋体" w:hAnsi="宋体" w:cs="宋体"/>
          <w:b/>
          <w:color w:val="000000"/>
          <w:sz w:val="15"/>
          <w:szCs w:val="15"/>
          <w:highlight w:val="none"/>
          <w:lang w:val="zh-CN"/>
        </w:rPr>
        <w:t>响应文件编制</w:t>
      </w:r>
    </w:p>
    <w:p w14:paraId="4D800F39">
      <w:pPr>
        <w:autoSpaceDE w:val="0"/>
        <w:autoSpaceDN w:val="0"/>
        <w:adjustRightInd w:val="0"/>
        <w:snapToGrid w:val="0"/>
        <w:spacing w:line="240" w:lineRule="auto"/>
        <w:ind w:left="420"/>
        <w:rPr>
          <w:rFonts w:hint="eastAsia" w:ascii="宋体" w:hAnsi="宋体" w:cs="宋体"/>
          <w:b/>
          <w:bCs/>
          <w:color w:val="000000"/>
          <w:sz w:val="15"/>
          <w:szCs w:val="15"/>
          <w:highlight w:val="none"/>
          <w:lang w:val="zh-CN"/>
        </w:rPr>
      </w:pPr>
      <w:r>
        <w:rPr>
          <w:rFonts w:hint="eastAsia" w:ascii="宋体" w:hAnsi="宋体" w:cs="宋体"/>
          <w:bCs/>
          <w:color w:val="000000"/>
          <w:sz w:val="15"/>
          <w:szCs w:val="15"/>
          <w:highlight w:val="none"/>
        </w:rPr>
        <w:t>4</w:t>
      </w:r>
      <w:r>
        <w:rPr>
          <w:rFonts w:hint="eastAsia" w:ascii="宋体" w:hAnsi="宋体" w:cs="宋体"/>
          <w:bCs/>
          <w:color w:val="000000"/>
          <w:sz w:val="15"/>
          <w:szCs w:val="15"/>
          <w:highlight w:val="none"/>
          <w:lang w:val="zh-CN"/>
        </w:rPr>
        <w:t>、供应商应当按照磋商文件的要求编制响应文件，并对其提交的响应文件真实性、合法性承担法律责任。</w:t>
      </w:r>
    </w:p>
    <w:p w14:paraId="44D4EBA0">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5</w:t>
      </w:r>
      <w:r>
        <w:rPr>
          <w:rFonts w:hint="eastAsia" w:ascii="宋体" w:hAnsi="宋体" w:cs="宋体"/>
          <w:b/>
          <w:bCs/>
          <w:color w:val="000000"/>
          <w:sz w:val="15"/>
          <w:szCs w:val="15"/>
          <w:highlight w:val="none"/>
          <w:lang w:val="zh-CN"/>
        </w:rPr>
        <w:t>、响应文件的语言、计量单位、货币和编制</w:t>
      </w:r>
    </w:p>
    <w:p w14:paraId="376044D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.1 供应商提交的磋商响应文件、技术文件和资料，包括图纸中的说明，以及供应商与南京市溧水区人民医院就有关磋商的所有来往函电均应使用中文。响应文件中若有英文或其他语言文字的资料，应提供相应的中文翻译资料。对不同文本响应文件的解释发生异议的，以中文文本为准。</w:t>
      </w:r>
    </w:p>
    <w:p w14:paraId="033F007F">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.2 供应商所使用的计量单位应为国家法定计量单位。</w:t>
      </w:r>
    </w:p>
    <w:p w14:paraId="2302C7AE">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.3 供应商应用人民币报价。</w:t>
      </w:r>
    </w:p>
    <w:p w14:paraId="3CB312E3">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.4 磋商响应文件应字迹清楚、内容齐全、不得涂改。如有修改，修改处须有供应商公章或磋商专用章和法定代表人或其授权磋商代表签字。</w:t>
      </w:r>
    </w:p>
    <w:p w14:paraId="3CE8738B">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.5 磋商响应文件应按照竞争性磋商文件规定的顺序，统一用A4规格幅面打印、装订成册并编制目录，由于编排混乱导致响应文件被误读或查找不到，责任由供应商承担。</w:t>
      </w:r>
    </w:p>
    <w:p w14:paraId="3CA5769C">
      <w:pPr>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.6响应文件应逐页编码，不得跳页（包括但不限于授权、证明材料、声明及产品介绍、彩页等）。</w:t>
      </w:r>
    </w:p>
    <w:p w14:paraId="32C413B7">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 xml:space="preserve"> 供应商应在磋商响应文件中写清相应的项目编号、项目名称、供应商全称、地址、电话、传真等。</w:t>
      </w:r>
    </w:p>
    <w:p w14:paraId="2735338A">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6</w:t>
      </w:r>
      <w:r>
        <w:rPr>
          <w:rFonts w:hint="eastAsia" w:ascii="宋体" w:hAnsi="宋体" w:cs="宋体"/>
          <w:b/>
          <w:bCs/>
          <w:color w:val="000000"/>
          <w:sz w:val="15"/>
          <w:szCs w:val="15"/>
          <w:highlight w:val="none"/>
          <w:lang w:val="zh-CN"/>
        </w:rPr>
        <w:t>、磋商响应文件的组成</w:t>
      </w:r>
    </w:p>
    <w:p w14:paraId="3F0709BA">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.1 供应商应当根据竞争性磋商文件要求编制磋商响应文件，并根据自己的商务能力、技术水平对竞争性磋商文件提出的要求和条件逐条标明是否响应。响应文件由商务部分、技术部分、价格部分，以及其他部分组成。</w:t>
      </w:r>
    </w:p>
    <w:p w14:paraId="0C0D012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 xml:space="preserve">.2 </w:t>
      </w:r>
      <w:r>
        <w:rPr>
          <w:rFonts w:hint="eastAsia" w:ascii="宋体" w:hAnsi="宋体" w:cs="宋体"/>
          <w:b/>
          <w:color w:val="000000"/>
          <w:sz w:val="15"/>
          <w:szCs w:val="15"/>
          <w:highlight w:val="none"/>
          <w:lang w:val="zh-CN"/>
        </w:rPr>
        <w:t>响应文件的商务部分。</w:t>
      </w:r>
      <w:r>
        <w:rPr>
          <w:rFonts w:hint="eastAsia" w:ascii="宋体" w:hAnsi="宋体" w:cs="宋体"/>
          <w:bCs/>
          <w:color w:val="000000"/>
          <w:sz w:val="15"/>
          <w:szCs w:val="15"/>
          <w:highlight w:val="none"/>
          <w:lang w:val="zh-CN"/>
        </w:rPr>
        <w:t>商务部分是证明供应商有资格参加磋商和成交后有能力履行合同的文件，这些文件应能满足竞争性磋商采购文件的要求，包括但不限于下列文件</w:t>
      </w:r>
      <w:r>
        <w:rPr>
          <w:rFonts w:hint="eastAsia" w:ascii="宋体" w:hAnsi="宋体" w:cs="宋体"/>
          <w:color w:val="000000"/>
          <w:sz w:val="15"/>
          <w:szCs w:val="15"/>
          <w:highlight w:val="none"/>
          <w:lang w:val="zh-CN"/>
        </w:rPr>
        <w:t>：</w:t>
      </w:r>
    </w:p>
    <w:p w14:paraId="69F32F07">
      <w:pPr>
        <w:autoSpaceDE w:val="0"/>
        <w:autoSpaceDN w:val="0"/>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（1）磋商申请及声明；</w:t>
      </w:r>
    </w:p>
    <w:p w14:paraId="31602045">
      <w:pPr>
        <w:widowControl/>
        <w:adjustRightInd w:val="0"/>
        <w:spacing w:line="240" w:lineRule="auto"/>
        <w:ind w:firstLine="420"/>
        <w:jc w:val="left"/>
        <w:rPr>
          <w:rFonts w:hint="eastAsia" w:ascii="宋体" w:hAnsi="宋体" w:cs="宋体"/>
          <w:color w:val="000000"/>
          <w:kern w:val="0"/>
          <w:sz w:val="15"/>
          <w:szCs w:val="15"/>
          <w:highlight w:val="none"/>
          <w:lang w:val="zh-CN"/>
        </w:rPr>
      </w:pPr>
      <w:r>
        <w:rPr>
          <w:rFonts w:hint="eastAsia" w:ascii="宋体" w:hAnsi="宋体" w:cs="宋体"/>
          <w:color w:val="000000"/>
          <w:kern w:val="0"/>
          <w:sz w:val="15"/>
          <w:szCs w:val="15"/>
          <w:highlight w:val="none"/>
          <w:lang w:val="zh-CN"/>
        </w:rPr>
        <w:t>（2）法定代表人授权委托书及委托代理人的身份证明文件的复印件；</w:t>
      </w:r>
    </w:p>
    <w:p w14:paraId="4FC2D327">
      <w:pPr>
        <w:autoSpaceDE w:val="0"/>
        <w:autoSpaceDN w:val="0"/>
        <w:adjustRightInd w:val="0"/>
        <w:spacing w:line="240" w:lineRule="auto"/>
        <w:ind w:firstLine="420"/>
        <w:jc w:val="left"/>
        <w:rPr>
          <w:rFonts w:hint="eastAsia" w:ascii="宋体" w:hAnsi="宋体" w:cs="宋体"/>
          <w:color w:val="000000"/>
          <w:kern w:val="0"/>
          <w:sz w:val="15"/>
          <w:szCs w:val="15"/>
          <w:highlight w:val="none"/>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）第一章竞争性磋商邀请中 4.1《中华人民共和国政府采购法》规定的资格条件证明文件；</w:t>
      </w:r>
    </w:p>
    <w:p w14:paraId="002B6214">
      <w:pPr>
        <w:widowControl/>
        <w:adjustRightInd w:val="0"/>
        <w:spacing w:line="240" w:lineRule="auto"/>
        <w:ind w:firstLine="420"/>
        <w:jc w:val="left"/>
        <w:rPr>
          <w:rFonts w:hint="eastAsia" w:ascii="宋体" w:hAnsi="宋体" w:cs="宋体"/>
          <w:color w:val="000000"/>
          <w:sz w:val="15"/>
          <w:szCs w:val="15"/>
          <w:highlight w:val="none"/>
          <w:lang w:val="zh-CN"/>
        </w:rPr>
      </w:pPr>
      <w:r>
        <w:rPr>
          <w:rFonts w:hint="eastAsia" w:ascii="宋体" w:hAnsi="宋体" w:cs="宋体"/>
          <w:color w:val="000000"/>
          <w:kern w:val="0"/>
          <w:sz w:val="15"/>
          <w:szCs w:val="15"/>
          <w:highlight w:val="none"/>
          <w:lang w:val="zh-CN"/>
        </w:rPr>
        <w:t>（</w:t>
      </w:r>
      <w:r>
        <w:rPr>
          <w:rFonts w:hint="eastAsia" w:ascii="宋体" w:hAnsi="宋体" w:cs="宋体"/>
          <w:color w:val="000000"/>
          <w:kern w:val="0"/>
          <w:sz w:val="15"/>
          <w:szCs w:val="15"/>
          <w:highlight w:val="none"/>
        </w:rPr>
        <w:t>4</w:t>
      </w:r>
      <w:r>
        <w:rPr>
          <w:rFonts w:hint="eastAsia" w:ascii="宋体" w:hAnsi="宋体" w:cs="宋体"/>
          <w:color w:val="000000"/>
          <w:kern w:val="0"/>
          <w:sz w:val="15"/>
          <w:szCs w:val="15"/>
          <w:highlight w:val="none"/>
          <w:lang w:val="zh-CN"/>
        </w:rPr>
        <w:t>）《商务服务条款偏离表</w:t>
      </w:r>
      <w:r>
        <w:rPr>
          <w:rFonts w:hint="eastAsia" w:ascii="宋体" w:hAnsi="宋体" w:cs="宋体"/>
          <w:color w:val="000000"/>
          <w:sz w:val="15"/>
          <w:szCs w:val="15"/>
          <w:highlight w:val="none"/>
          <w:lang w:val="zh-CN"/>
        </w:rPr>
        <w:t>》；</w:t>
      </w:r>
    </w:p>
    <w:p w14:paraId="1B5E43C1">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）合同草案条款</w:t>
      </w:r>
    </w:p>
    <w:p w14:paraId="0A59F63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）供应商认为需要提供的其他资格证明文件和商务资料。</w:t>
      </w:r>
    </w:p>
    <w:p w14:paraId="38477F90">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Cs/>
          <w:color w:val="000000"/>
          <w:sz w:val="15"/>
          <w:szCs w:val="15"/>
          <w:highlight w:val="none"/>
        </w:rPr>
        <w:t>6</w:t>
      </w:r>
      <w:r>
        <w:rPr>
          <w:rFonts w:hint="eastAsia" w:ascii="宋体" w:hAnsi="宋体" w:cs="宋体"/>
          <w:bCs/>
          <w:color w:val="000000"/>
          <w:sz w:val="15"/>
          <w:szCs w:val="15"/>
          <w:highlight w:val="none"/>
          <w:lang w:val="zh-CN"/>
        </w:rPr>
        <w:t>.</w:t>
      </w:r>
      <w:r>
        <w:rPr>
          <w:rFonts w:hint="eastAsia" w:ascii="宋体" w:hAnsi="宋体" w:cs="宋体"/>
          <w:bCs/>
          <w:color w:val="000000"/>
          <w:sz w:val="15"/>
          <w:szCs w:val="15"/>
          <w:highlight w:val="none"/>
        </w:rPr>
        <w:t>3</w:t>
      </w:r>
      <w:r>
        <w:rPr>
          <w:rFonts w:hint="eastAsia" w:ascii="宋体" w:hAnsi="宋体" w:cs="宋体"/>
          <w:bCs/>
          <w:color w:val="000000"/>
          <w:sz w:val="15"/>
          <w:szCs w:val="15"/>
          <w:highlight w:val="none"/>
          <w:lang w:val="zh-CN"/>
        </w:rPr>
        <w:t xml:space="preserve"> </w:t>
      </w:r>
      <w:r>
        <w:rPr>
          <w:rFonts w:hint="eastAsia" w:ascii="宋体" w:hAnsi="宋体" w:cs="宋体"/>
          <w:b/>
          <w:bCs/>
          <w:color w:val="000000"/>
          <w:sz w:val="15"/>
          <w:szCs w:val="15"/>
          <w:highlight w:val="none"/>
          <w:lang w:val="zh-CN"/>
        </w:rPr>
        <w:t>响应文件的技术部分。</w:t>
      </w:r>
      <w:r>
        <w:rPr>
          <w:rFonts w:hint="eastAsia" w:ascii="宋体" w:hAnsi="宋体" w:cs="宋体"/>
          <w:color w:val="000000"/>
          <w:sz w:val="15"/>
          <w:szCs w:val="15"/>
          <w:highlight w:val="none"/>
          <w:lang w:val="zh-CN"/>
        </w:rPr>
        <w:t>技术部分是证明</w:t>
      </w:r>
      <w:r>
        <w:rPr>
          <w:rFonts w:hint="eastAsia" w:ascii="宋体" w:hAnsi="宋体" w:cs="宋体"/>
          <w:color w:val="000000"/>
          <w:sz w:val="15"/>
          <w:szCs w:val="15"/>
          <w:highlight w:val="none"/>
        </w:rPr>
        <w:t>供应商提供的服务是合格的、并符合竞争性磋商文件要求的证明文件，以及</w:t>
      </w:r>
      <w:r>
        <w:rPr>
          <w:rFonts w:hint="eastAsia" w:ascii="宋体" w:hAnsi="宋体" w:cs="宋体"/>
          <w:color w:val="000000"/>
          <w:sz w:val="15"/>
          <w:szCs w:val="15"/>
          <w:highlight w:val="none"/>
          <w:lang w:val="zh-CN"/>
        </w:rPr>
        <w:t>对服务的详细说明，这些文件可以是文字资料、图纸和数据等。提供的服务如与竞争性磋商文件要求有不符之处，应说明其差别之所在。包括但不限于下列文件：</w:t>
      </w:r>
    </w:p>
    <w:p w14:paraId="29F57A2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kern w:val="0"/>
          <w:sz w:val="15"/>
          <w:szCs w:val="15"/>
          <w:highlight w:val="none"/>
          <w:lang w:val="zh-CN"/>
        </w:rPr>
        <w:t>（1）</w:t>
      </w:r>
      <w:r>
        <w:rPr>
          <w:rFonts w:hint="eastAsia" w:ascii="宋体" w:hAnsi="宋体" w:cs="宋体"/>
          <w:b/>
          <w:color w:val="000000"/>
          <w:sz w:val="15"/>
          <w:szCs w:val="15"/>
          <w:highlight w:val="none"/>
          <w:lang w:val="zh-CN"/>
        </w:rPr>
        <w:t>南京市政府采购供应商信用记录表；</w:t>
      </w:r>
    </w:p>
    <w:p w14:paraId="495BDE8B">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lang w:val="zh-CN"/>
        </w:rPr>
        <w:t>（2）</w:t>
      </w:r>
      <w:r>
        <w:rPr>
          <w:rFonts w:hint="eastAsia" w:ascii="宋体" w:hAnsi="宋体" w:cs="宋体"/>
          <w:b/>
          <w:color w:val="000000"/>
          <w:sz w:val="15"/>
          <w:szCs w:val="15"/>
          <w:highlight w:val="none"/>
          <w:lang w:val="zh-CN"/>
        </w:rPr>
        <w:t>《技术条款偏离表》；</w:t>
      </w:r>
    </w:p>
    <w:p w14:paraId="6475530F">
      <w:pPr>
        <w:widowControl/>
        <w:adjustRightInd w:val="0"/>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3</w:t>
      </w:r>
      <w:r>
        <w:rPr>
          <w:rFonts w:hint="eastAsia" w:ascii="宋体" w:hAnsi="宋体" w:cs="宋体"/>
          <w:color w:val="000000"/>
          <w:sz w:val="15"/>
          <w:szCs w:val="15"/>
          <w:highlight w:val="none"/>
          <w:lang w:val="zh-CN"/>
        </w:rPr>
        <w:t>）项目实施方案；</w:t>
      </w:r>
    </w:p>
    <w:p w14:paraId="04005B1E">
      <w:pPr>
        <w:widowControl/>
        <w:adjustRightInd w:val="0"/>
        <w:snapToGrid w:val="0"/>
        <w:spacing w:line="240" w:lineRule="auto"/>
        <w:ind w:firstLine="300" w:firstLineChars="20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（4）</w:t>
      </w:r>
      <w:r>
        <w:rPr>
          <w:rFonts w:hint="eastAsia" w:ascii="宋体" w:hAnsi="宋体" w:cs="宋体"/>
          <w:b/>
          <w:color w:val="000000"/>
          <w:kern w:val="0"/>
          <w:sz w:val="15"/>
          <w:szCs w:val="15"/>
          <w:highlight w:val="none"/>
          <w:lang w:val="zh-CN"/>
        </w:rPr>
        <w:t>服务承诺；</w:t>
      </w:r>
    </w:p>
    <w:p w14:paraId="1CB43A42">
      <w:pPr>
        <w:widowControl/>
        <w:adjustRightInd w:val="0"/>
        <w:snapToGrid w:val="0"/>
        <w:spacing w:line="240" w:lineRule="auto"/>
        <w:ind w:firstLine="420"/>
        <w:rPr>
          <w:rFonts w:hint="eastAsia" w:ascii="宋体" w:hAnsi="宋体" w:cs="宋体"/>
          <w:color w:val="000000"/>
          <w:kern w:val="0"/>
          <w:sz w:val="15"/>
          <w:szCs w:val="15"/>
          <w:highlight w:val="none"/>
          <w:lang w:val="zh-CN"/>
        </w:rPr>
      </w:pPr>
      <w:r>
        <w:rPr>
          <w:rFonts w:hint="eastAsia" w:ascii="宋体" w:hAnsi="宋体" w:cs="宋体"/>
          <w:color w:val="000000"/>
          <w:sz w:val="15"/>
          <w:szCs w:val="15"/>
          <w:highlight w:val="none"/>
        </w:rPr>
        <w:t>（5）供应商认为需要</w:t>
      </w:r>
      <w:r>
        <w:rPr>
          <w:rFonts w:hint="eastAsia" w:ascii="宋体" w:hAnsi="宋体" w:cs="宋体"/>
          <w:color w:val="000000"/>
          <w:kern w:val="0"/>
          <w:sz w:val="15"/>
          <w:szCs w:val="15"/>
          <w:highlight w:val="none"/>
          <w:lang w:val="zh-CN"/>
        </w:rPr>
        <w:t>提供的其他技术资料。</w:t>
      </w:r>
    </w:p>
    <w:p w14:paraId="492BBDD5">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4</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磋商响应文件的价格部分</w:t>
      </w:r>
    </w:p>
    <w:p w14:paraId="2E1E75A3">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（1）价格部分是对货物和服务价格构成的说明，磋商文件如没有特别说明的话，对每一项货物和服务仅接受一个价格。</w:t>
      </w:r>
    </w:p>
    <w:p w14:paraId="6193BF36">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（2）报价应包含完成本货物和服务项目发生的所有含税费用、支付给员工的工资和国家强制缴纳的各种社会保障资金，以及供应商认为需要的其他费用等。</w:t>
      </w:r>
    </w:p>
    <w:p w14:paraId="7C1B6204">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（3）供应商应充分考虑到市场价格变动，以及项目实施过程中的不可预见因素，一旦成交，总价格不变。如果有漏项，视同让利。</w:t>
      </w:r>
    </w:p>
    <w:p w14:paraId="418C26C5">
      <w:pPr>
        <w:autoSpaceDE w:val="0"/>
        <w:autoSpaceDN w:val="0"/>
        <w:adjustRightInd w:val="0"/>
        <w:spacing w:line="240" w:lineRule="auto"/>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lang w:val="zh-CN"/>
        </w:rPr>
        <w:t>（4）经磋商后，如果成交价高于或低于供应商在响应文件首次报价的，分项报价同比例调整。</w:t>
      </w:r>
    </w:p>
    <w:p w14:paraId="38B81C06">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5</w:t>
      </w:r>
      <w:r>
        <w:rPr>
          <w:rFonts w:hint="eastAsia" w:ascii="宋体" w:hAnsi="宋体" w:cs="宋体"/>
          <w:color w:val="000000"/>
          <w:sz w:val="15"/>
          <w:szCs w:val="15"/>
          <w:highlight w:val="none"/>
          <w:lang w:val="zh-CN"/>
        </w:rPr>
        <w:t xml:space="preserve"> </w:t>
      </w:r>
      <w:r>
        <w:rPr>
          <w:rFonts w:hint="eastAsia" w:ascii="宋体" w:hAnsi="宋体" w:cs="宋体"/>
          <w:b/>
          <w:color w:val="000000"/>
          <w:sz w:val="15"/>
          <w:szCs w:val="15"/>
          <w:highlight w:val="none"/>
          <w:lang w:val="zh-CN"/>
        </w:rPr>
        <w:t>磋商响应文件的其他部分。</w:t>
      </w:r>
      <w:r>
        <w:rPr>
          <w:rFonts w:hint="eastAsia" w:ascii="宋体" w:hAnsi="宋体" w:cs="宋体"/>
          <w:color w:val="000000"/>
          <w:sz w:val="15"/>
          <w:szCs w:val="15"/>
          <w:highlight w:val="none"/>
          <w:lang w:val="zh-CN"/>
        </w:rPr>
        <w:t>其他部分由供应商根据编制磋商响应文件需要提供的其他相关文件。</w:t>
      </w:r>
    </w:p>
    <w:p w14:paraId="0A17DE7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lang w:val="zh-CN"/>
        </w:rPr>
        <w:t>三、响应文件签署与提交</w:t>
      </w:r>
    </w:p>
    <w:p w14:paraId="50BE04E5">
      <w:pPr>
        <w:tabs>
          <w:tab w:val="left" w:pos="5355"/>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7</w:t>
      </w:r>
      <w:r>
        <w:rPr>
          <w:rFonts w:hint="eastAsia" w:ascii="宋体" w:hAnsi="宋体" w:cs="宋体"/>
          <w:b/>
          <w:bCs/>
          <w:color w:val="000000"/>
          <w:sz w:val="15"/>
          <w:szCs w:val="15"/>
          <w:highlight w:val="none"/>
          <w:lang w:val="zh-CN"/>
        </w:rPr>
        <w:t>、响应文件签署</w:t>
      </w:r>
    </w:p>
    <w:p w14:paraId="24CEAF97">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.1 响应文件应由供应商法定代表人或授权代表签字，并加盖公章。</w:t>
      </w:r>
    </w:p>
    <w:p w14:paraId="28330B00">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.2 供应商应当在磋商文件要求提交响应文件的截止时间前，将响应文件密封送达指定地点。</w:t>
      </w:r>
    </w:p>
    <w:p w14:paraId="4939BBFE">
      <w:pPr>
        <w:tabs>
          <w:tab w:val="left" w:pos="5355"/>
        </w:tabs>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7</w:t>
      </w:r>
      <w:r>
        <w:rPr>
          <w:rFonts w:hint="eastAsia" w:ascii="宋体" w:hAnsi="宋体" w:cs="宋体"/>
          <w:color w:val="000000"/>
          <w:sz w:val="15"/>
          <w:szCs w:val="15"/>
          <w:highlight w:val="none"/>
          <w:lang w:val="zh-CN"/>
        </w:rPr>
        <w:t>.3 有下列情形的响应文件将拒收：</w:t>
      </w:r>
    </w:p>
    <w:p w14:paraId="46EDD391">
      <w:pPr>
        <w:tabs>
          <w:tab w:val="left" w:pos="5355"/>
        </w:tabs>
        <w:autoSpaceDE w:val="0"/>
        <w:autoSpaceDN w:val="0"/>
        <w:adjustRightInd w:val="0"/>
        <w:snapToGrid w:val="0"/>
        <w:spacing w:line="240" w:lineRule="auto"/>
        <w:ind w:firstLine="600" w:firstLineChars="400"/>
        <w:rPr>
          <w:rFonts w:hint="eastAsia" w:ascii="宋体" w:hAnsi="宋体" w:cs="宋体"/>
          <w:b/>
          <w:bCs/>
          <w:color w:val="000000"/>
          <w:sz w:val="15"/>
          <w:szCs w:val="15"/>
          <w:highlight w:val="none"/>
        </w:rPr>
      </w:pPr>
      <w:r>
        <w:rPr>
          <w:rFonts w:hint="eastAsia" w:ascii="宋体" w:hAnsi="宋体" w:cs="宋体"/>
          <w:color w:val="000000"/>
          <w:sz w:val="15"/>
          <w:szCs w:val="15"/>
          <w:highlight w:val="none"/>
          <w:lang w:val="zh-CN"/>
        </w:rPr>
        <w:t>在磋商文件要求提交响应文件的截止时间之后送达的等。</w:t>
      </w:r>
    </w:p>
    <w:p w14:paraId="2CDA48C7">
      <w:pPr>
        <w:autoSpaceDE w:val="0"/>
        <w:autoSpaceDN w:val="0"/>
        <w:adjustRightInd w:val="0"/>
        <w:snapToGrid w:val="0"/>
        <w:spacing w:line="240" w:lineRule="auto"/>
        <w:ind w:firstLine="301" w:firstLineChars="20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lang w:val="zh-CN"/>
        </w:rPr>
        <w:t>四、磋商</w:t>
      </w:r>
    </w:p>
    <w:p w14:paraId="4D26D1BC">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8</w:t>
      </w:r>
      <w:r>
        <w:rPr>
          <w:rFonts w:hint="eastAsia" w:ascii="宋体" w:hAnsi="宋体" w:cs="宋体"/>
          <w:b/>
          <w:bCs/>
          <w:color w:val="000000"/>
          <w:sz w:val="15"/>
          <w:szCs w:val="15"/>
          <w:highlight w:val="none"/>
          <w:lang w:val="zh-CN"/>
        </w:rPr>
        <w:t>、磋商组织</w:t>
      </w:r>
    </w:p>
    <w:p w14:paraId="6548F229">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.1 在递交磋商响应文件时间截止后，南京溧水区人民医院在规定的时间和地点组织磋商小组分别与供应商进行磋商。</w:t>
      </w:r>
    </w:p>
    <w:p w14:paraId="3A7EF912">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8</w:t>
      </w:r>
      <w:r>
        <w:rPr>
          <w:rFonts w:hint="eastAsia" w:ascii="宋体" w:hAnsi="宋体" w:cs="宋体"/>
          <w:color w:val="000000"/>
          <w:sz w:val="15"/>
          <w:szCs w:val="15"/>
          <w:highlight w:val="none"/>
          <w:lang w:val="zh-CN"/>
        </w:rPr>
        <w:t>.2 磋商工作由南京溧水区人民医院负责组织，具体磋商事务由依法组建的磋商小组负责。</w:t>
      </w:r>
    </w:p>
    <w:p w14:paraId="3425E9C7">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9</w:t>
      </w:r>
      <w:r>
        <w:rPr>
          <w:rFonts w:hint="eastAsia" w:ascii="宋体" w:hAnsi="宋体" w:cs="宋体"/>
          <w:b/>
          <w:color w:val="000000"/>
          <w:sz w:val="15"/>
          <w:szCs w:val="15"/>
          <w:highlight w:val="none"/>
          <w:lang w:val="zh-CN"/>
        </w:rPr>
        <w:t>、磋商程序</w:t>
      </w:r>
    </w:p>
    <w:p w14:paraId="2D8640A6">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.1 磋商小组评审供应商所递交的响应性文件，并根据磋商文件规定的程序、评定成交的标准等事项与实质性响应磋商文件要求的供应商进行磋商。未实质性响应磋商文件的响应文件按无效处理，磋商小组应告知有关供应商。</w:t>
      </w:r>
    </w:p>
    <w:p w14:paraId="126AF37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.2 磋商小组所有成员集中与单一供应商分别进行磋商，所有参加磋商的供应商均有同等的磋商机会。</w:t>
      </w:r>
    </w:p>
    <w:p w14:paraId="2C0B5AA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.3 磋商过程中，磋商小组根据磋商文件和磋商情况可能实质性变动采购需求中的技术、服务要求以及合同草案条款。实质性变动是磋商文件的有效组成部分，磋商小组将以书面形式通知所有参加磋商的供应商。</w:t>
      </w:r>
    </w:p>
    <w:p w14:paraId="4AA074A8">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.4 如磋商文件有实质性变动的，供应商应当按照磋商文件的变动情况和磋商小组的要求提交响应（或补充）文件，应由其法定代表人或授权代表签字并加盖公章。</w:t>
      </w:r>
    </w:p>
    <w:p w14:paraId="08A82448">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.5 磋商结束后，磋商小组将要求所有继续参加磋商的供应商在规定时间内提交最后报价。最后报价由其法定代表人或授权代表签字并加盖公章，最后报价是供应商响应文件的有效组成部分。</w:t>
      </w:r>
    </w:p>
    <w:p w14:paraId="35848A11">
      <w:pPr>
        <w:snapToGrid w:val="0"/>
        <w:spacing w:line="240" w:lineRule="auto"/>
        <w:ind w:firstLine="300" w:firstLineChars="20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.6 已提交响应文件的供应商，在提交最后报价之前，可以根据磋商情况退出磋商。</w:t>
      </w:r>
    </w:p>
    <w:p w14:paraId="38B17296">
      <w:pPr>
        <w:snapToGrid w:val="0"/>
        <w:spacing w:line="240" w:lineRule="auto"/>
        <w:ind w:firstLine="300" w:firstLineChars="200"/>
        <w:rPr>
          <w:rFonts w:hint="eastAsia" w:ascii="宋体" w:hAnsi="宋体" w:cs="宋体"/>
          <w:b/>
          <w:color w:val="000000"/>
          <w:kern w:val="0"/>
          <w:sz w:val="15"/>
          <w:szCs w:val="15"/>
          <w:highlight w:val="none"/>
        </w:rPr>
      </w:pPr>
      <w:r>
        <w:rPr>
          <w:rFonts w:hint="eastAsia" w:ascii="宋体" w:hAnsi="宋体" w:cs="宋体"/>
          <w:color w:val="000000"/>
          <w:sz w:val="15"/>
          <w:szCs w:val="15"/>
          <w:highlight w:val="none"/>
        </w:rPr>
        <w:t>9</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7 </w:t>
      </w:r>
      <w:r>
        <w:rPr>
          <w:rFonts w:hint="eastAsia" w:ascii="宋体" w:hAnsi="宋体" w:cs="宋体"/>
          <w:color w:val="000000"/>
          <w:sz w:val="15"/>
          <w:szCs w:val="15"/>
          <w:highlight w:val="none"/>
          <w:lang w:val="zh-CN"/>
        </w:rPr>
        <w:t>出现下列情形之一的响应文件按照无效处理：</w:t>
      </w:r>
    </w:p>
    <w:p w14:paraId="0A85B81E">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（1）不具备磋商文件中规定资格条件的；</w:t>
      </w:r>
    </w:p>
    <w:p w14:paraId="46F4FF49">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（2）供应商被“信用中国”网站（www.creditchina.gov.cn）、“中国政府采购网”(www.ccgp.gov.cn)列入失信被执行人、重大税收违法案件当事人名单、政府采购严重违法失信行为记录名单的；</w:t>
      </w:r>
    </w:p>
    <w:p w14:paraId="3FF269B0">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（3）未实质性响应磋商文件要求的；</w:t>
      </w:r>
    </w:p>
    <w:p w14:paraId="51CD5A6E">
      <w:pPr>
        <w:autoSpaceDE w:val="0"/>
        <w:autoSpaceDN w:val="0"/>
        <w:adjustRightInd w:val="0"/>
        <w:snapToGrid w:val="0"/>
        <w:spacing w:line="240" w:lineRule="auto"/>
        <w:ind w:firstLine="420"/>
        <w:outlineLvl w:val="0"/>
        <w:rPr>
          <w:rFonts w:hint="eastAsia" w:ascii="宋体" w:hAnsi="宋体" w:cs="宋体"/>
          <w:color w:val="000000"/>
          <w:w w:val="90"/>
          <w:sz w:val="15"/>
          <w:szCs w:val="15"/>
          <w:highlight w:val="none"/>
        </w:rPr>
      </w:pPr>
      <w:r>
        <w:rPr>
          <w:rFonts w:hint="eastAsia" w:ascii="宋体" w:hAnsi="宋体" w:cs="宋体"/>
          <w:color w:val="000000"/>
          <w:sz w:val="15"/>
          <w:szCs w:val="15"/>
          <w:highlight w:val="none"/>
        </w:rPr>
        <w:t>（4）</w:t>
      </w:r>
      <w:r>
        <w:rPr>
          <w:rFonts w:hint="eastAsia" w:ascii="宋体" w:hAnsi="宋体" w:cs="宋体"/>
          <w:color w:val="000000"/>
          <w:w w:val="90"/>
          <w:sz w:val="15"/>
          <w:szCs w:val="15"/>
          <w:highlight w:val="none"/>
        </w:rPr>
        <w:t>没有逐一说明提供产品名称、品牌、规格型号、产地、技术参数和服务响应，而是直接拷贝采购文件技术要求的；</w:t>
      </w:r>
    </w:p>
    <w:p w14:paraId="4E131177">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（5）报价低于完成本项目发生的所有含税费用、支付给员工的工资（不得低于供应商所在地最低工资标准）和国家强制缴纳的各种社会保障资金、公积金，以及供应商认为需要的其他费用等</w:t>
      </w:r>
      <w:r>
        <w:rPr>
          <w:rFonts w:hint="eastAsia" w:ascii="宋体" w:hAnsi="宋体" w:cs="宋体"/>
          <w:b/>
          <w:bCs/>
          <w:color w:val="000000"/>
          <w:sz w:val="15"/>
          <w:szCs w:val="15"/>
          <w:highlight w:val="none"/>
        </w:rPr>
        <w:t>。</w:t>
      </w:r>
    </w:p>
    <w:p w14:paraId="4C91E476">
      <w:pPr>
        <w:autoSpaceDE w:val="0"/>
        <w:autoSpaceDN w:val="0"/>
        <w:adjustRightInd w:val="0"/>
        <w:snapToGrid w:val="0"/>
        <w:spacing w:line="240" w:lineRule="auto"/>
        <w:ind w:firstLine="420"/>
        <w:outlineLvl w:val="0"/>
        <w:rPr>
          <w:rFonts w:hint="eastAsia" w:ascii="宋体" w:hAnsi="宋体" w:cs="宋体"/>
          <w:color w:val="000000"/>
          <w:sz w:val="15"/>
          <w:szCs w:val="15"/>
          <w:highlight w:val="none"/>
        </w:rPr>
      </w:pPr>
      <w:r>
        <w:rPr>
          <w:rFonts w:hint="eastAsia" w:ascii="宋体" w:hAnsi="宋体" w:cs="宋体"/>
          <w:color w:val="000000"/>
          <w:sz w:val="15"/>
          <w:szCs w:val="15"/>
          <w:highlight w:val="none"/>
        </w:rPr>
        <w:t>（6）不符合法律、法规和采购文件规定的其他实质性要求的。</w:t>
      </w:r>
    </w:p>
    <w:p w14:paraId="13F661BB">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rPr>
        <w:t xml:space="preserve">10、 </w:t>
      </w:r>
      <w:r>
        <w:rPr>
          <w:rFonts w:hint="eastAsia" w:ascii="宋体" w:hAnsi="宋体" w:cs="宋体"/>
          <w:b/>
          <w:bCs/>
          <w:color w:val="000000"/>
          <w:sz w:val="15"/>
          <w:szCs w:val="15"/>
          <w:highlight w:val="none"/>
        </w:rPr>
        <w:t>出现下列情形之一的，磋商终止：</w:t>
      </w:r>
    </w:p>
    <w:p w14:paraId="6E0FF4C2">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（1）因情况变化，不再符合规定的竞争性磋商采购方式适用情形的；</w:t>
      </w:r>
    </w:p>
    <w:p w14:paraId="752DAEA9">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（2）所有供应商的响应文件被磋商小组认定为无效的；</w:t>
      </w:r>
    </w:p>
    <w:p w14:paraId="749270B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（3）出现影响采购公正的违法、违规行为的；</w:t>
      </w:r>
    </w:p>
    <w:p w14:paraId="30FB2F44">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（4）供应商的最终报价超过采购预算的；</w:t>
      </w:r>
    </w:p>
    <w:p w14:paraId="2F511740">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（5）因重大变故，采购任务取消的；</w:t>
      </w:r>
    </w:p>
    <w:p w14:paraId="54F5BA0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（6）采购人需求发生重大变化暂时不能确定或供应商提供的货物和服务不能满足需求等。</w:t>
      </w:r>
    </w:p>
    <w:p w14:paraId="71EE9F31">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、评定成交方法和标准</w:t>
      </w:r>
    </w:p>
    <w:p w14:paraId="6A5E1648">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.1 采用综合评分法。即在最大限度地满足竞争性磋商文件实质性要求前提下，按照磋商文件中规定的各项因素进行综合评审后，以评审总得分最高的供应商作为成交候选供应商或者成交供应商的评审方法。</w:t>
      </w:r>
    </w:p>
    <w:p w14:paraId="3689AF2F">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11</w:t>
      </w:r>
      <w:r>
        <w:rPr>
          <w:rFonts w:hint="eastAsia" w:ascii="宋体" w:hAnsi="宋体" w:cs="宋体"/>
          <w:bCs/>
          <w:color w:val="000000"/>
          <w:sz w:val="15"/>
          <w:szCs w:val="15"/>
          <w:highlight w:val="none"/>
          <w:lang w:val="zh-CN"/>
        </w:rPr>
        <w:t>.2 综合评分的主要因素是：</w:t>
      </w:r>
      <w:r>
        <w:rPr>
          <w:rFonts w:hint="eastAsia" w:ascii="宋体" w:hAnsi="宋体" w:cs="宋体"/>
          <w:color w:val="000000"/>
          <w:kern w:val="0"/>
          <w:sz w:val="15"/>
          <w:szCs w:val="15"/>
          <w:highlight w:val="none"/>
          <w:lang w:val="zh-CN"/>
        </w:rPr>
        <w:t>价格、企业实力、</w:t>
      </w:r>
      <w:r>
        <w:rPr>
          <w:rFonts w:hint="eastAsia" w:ascii="宋体" w:hAnsi="宋体" w:cs="宋体"/>
          <w:color w:val="000000"/>
          <w:sz w:val="15"/>
          <w:szCs w:val="15"/>
          <w:highlight w:val="none"/>
        </w:rPr>
        <w:t>服务响应及方案</w:t>
      </w:r>
      <w:r>
        <w:rPr>
          <w:rFonts w:hint="eastAsia" w:ascii="宋体" w:hAnsi="宋体" w:cs="宋体"/>
          <w:color w:val="000000"/>
          <w:kern w:val="0"/>
          <w:sz w:val="15"/>
          <w:szCs w:val="15"/>
          <w:highlight w:val="none"/>
          <w:lang w:val="zh-CN"/>
        </w:rPr>
        <w:t>、人员配备和业绩等</w:t>
      </w:r>
      <w:r>
        <w:rPr>
          <w:rFonts w:hint="eastAsia" w:ascii="宋体" w:hAnsi="宋体" w:cs="宋体"/>
          <w:bCs/>
          <w:color w:val="000000"/>
          <w:sz w:val="15"/>
          <w:szCs w:val="15"/>
          <w:highlight w:val="none"/>
          <w:lang w:val="zh-CN"/>
        </w:rPr>
        <w:t>。</w:t>
      </w:r>
    </w:p>
    <w:p w14:paraId="5B126E8C">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11</w:t>
      </w:r>
      <w:r>
        <w:rPr>
          <w:rFonts w:hint="eastAsia" w:ascii="宋体" w:hAnsi="宋体" w:cs="宋体"/>
          <w:b/>
          <w:color w:val="000000"/>
          <w:sz w:val="15"/>
          <w:szCs w:val="15"/>
          <w:highlight w:val="none"/>
          <w:lang w:val="zh-CN"/>
        </w:rPr>
        <w:t>.3 评定方法，详见磋商文件第四部分。</w:t>
      </w:r>
    </w:p>
    <w:p w14:paraId="6D27CDD8">
      <w:pPr>
        <w:autoSpaceDE w:val="0"/>
        <w:autoSpaceDN w:val="0"/>
        <w:adjustRightIn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12</w:t>
      </w:r>
      <w:r>
        <w:rPr>
          <w:rFonts w:hint="eastAsia" w:ascii="宋体" w:hAnsi="宋体" w:cs="宋体"/>
          <w:b/>
          <w:color w:val="000000"/>
          <w:sz w:val="15"/>
          <w:szCs w:val="15"/>
          <w:highlight w:val="none"/>
          <w:lang w:val="zh-CN"/>
        </w:rPr>
        <w:t>、确定成交供应商</w:t>
      </w:r>
    </w:p>
    <w:p w14:paraId="2B10C145">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12.1 在综合比较与评价后按照得分高低顺序对供应商进行排列。得分相同的，按报价由低到高顺序排列。得分且报价相同的，按技术指标优劣顺序排列。磋商小组将严格按照采购文件的要求和条件进行比较,根据评审办法直接确定成交供应商或推荐出成交候选供应商。</w:t>
      </w:r>
    </w:p>
    <w:p w14:paraId="3CD339D3">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12.2  成交供应商确定后，将在溧水区人民医院官网上公告。</w:t>
      </w:r>
    </w:p>
    <w:p w14:paraId="0E5E319E">
      <w:pPr>
        <w:autoSpaceDE w:val="0"/>
        <w:autoSpaceDN w:val="0"/>
        <w:adjustRightIn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lang w:val="zh-CN"/>
        </w:rPr>
        <w:t>12.3  中标通知书对采购人和成交供应商具有同等法律效力。</w:t>
      </w:r>
    </w:p>
    <w:p w14:paraId="4EA22555">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.4</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 xml:space="preserve"> 代理单位对未成交的供应商不作未成交原因的解释。</w:t>
      </w:r>
    </w:p>
    <w:p w14:paraId="3D7F0ACA">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12</w:t>
      </w:r>
      <w:r>
        <w:rPr>
          <w:rFonts w:hint="eastAsia" w:ascii="宋体" w:hAnsi="宋体" w:cs="宋体"/>
          <w:color w:val="000000"/>
          <w:sz w:val="15"/>
          <w:szCs w:val="15"/>
          <w:highlight w:val="none"/>
          <w:lang w:val="zh-CN"/>
        </w:rPr>
        <w:t xml:space="preserve">.5 </w:t>
      </w:r>
      <w:r>
        <w:rPr>
          <w:rFonts w:hint="eastAsia" w:ascii="宋体" w:hAnsi="宋体" w:cs="宋体"/>
          <w:color w:val="000000"/>
          <w:sz w:val="15"/>
          <w:szCs w:val="15"/>
          <w:highlight w:val="none"/>
        </w:rPr>
        <w:t xml:space="preserve"> </w:t>
      </w:r>
      <w:r>
        <w:rPr>
          <w:rFonts w:hint="eastAsia" w:ascii="宋体" w:hAnsi="宋体" w:cs="宋体"/>
          <w:color w:val="000000"/>
          <w:sz w:val="15"/>
          <w:szCs w:val="15"/>
          <w:highlight w:val="none"/>
          <w:lang w:val="zh-CN"/>
        </w:rPr>
        <w:t>所有响应文件都将作为档案保存，不论成交与否，文件均不退回。</w:t>
      </w:r>
    </w:p>
    <w:p w14:paraId="4DCDCA36">
      <w:pPr>
        <w:autoSpaceDE w:val="0"/>
        <w:autoSpaceDN w:val="0"/>
        <w:adjustRightInd w:val="0"/>
        <w:snapToGrid w:val="0"/>
        <w:spacing w:line="240" w:lineRule="auto"/>
        <w:ind w:firstLine="420"/>
        <w:rPr>
          <w:rFonts w:hint="eastAsia" w:ascii="宋体" w:hAnsi="宋体" w:cs="宋体"/>
          <w:b/>
          <w:color w:val="000000"/>
          <w:sz w:val="15"/>
          <w:szCs w:val="15"/>
          <w:highlight w:val="none"/>
          <w:lang w:val="zh-CN"/>
        </w:rPr>
      </w:pPr>
      <w:r>
        <w:rPr>
          <w:rFonts w:hint="eastAsia" w:ascii="宋体" w:hAnsi="宋体" w:cs="宋体"/>
          <w:b/>
          <w:color w:val="000000"/>
          <w:sz w:val="15"/>
          <w:szCs w:val="15"/>
          <w:highlight w:val="none"/>
        </w:rPr>
        <w:t>13</w:t>
      </w:r>
      <w:r>
        <w:rPr>
          <w:rFonts w:hint="eastAsia" w:ascii="宋体" w:hAnsi="宋体" w:cs="宋体"/>
          <w:b/>
          <w:color w:val="000000"/>
          <w:sz w:val="15"/>
          <w:szCs w:val="15"/>
          <w:highlight w:val="none"/>
          <w:lang w:val="zh-CN"/>
        </w:rPr>
        <w:t>、编写评审报告</w:t>
      </w:r>
    </w:p>
    <w:p w14:paraId="6AD369DC">
      <w:pPr>
        <w:autoSpaceDE w:val="0"/>
        <w:autoSpaceDN w:val="0"/>
        <w:adjustRightInd w:val="0"/>
        <w:snapToGrid w:val="0"/>
        <w:spacing w:line="240" w:lineRule="auto"/>
        <w:ind w:firstLine="420"/>
        <w:rPr>
          <w:rFonts w:hint="eastAsia" w:ascii="宋体" w:hAnsi="宋体" w:cs="宋体"/>
          <w:bCs/>
          <w:color w:val="000000"/>
          <w:sz w:val="15"/>
          <w:szCs w:val="15"/>
          <w:highlight w:val="none"/>
          <w:lang w:val="zh-CN"/>
        </w:rPr>
      </w:pPr>
      <w:r>
        <w:rPr>
          <w:rFonts w:hint="eastAsia" w:ascii="宋体" w:hAnsi="宋体" w:cs="宋体"/>
          <w:bCs/>
          <w:color w:val="000000"/>
          <w:sz w:val="15"/>
          <w:szCs w:val="15"/>
          <w:highlight w:val="none"/>
        </w:rPr>
        <w:t>13</w:t>
      </w:r>
      <w:r>
        <w:rPr>
          <w:rFonts w:hint="eastAsia" w:ascii="宋体" w:hAnsi="宋体" w:cs="宋体"/>
          <w:bCs/>
          <w:color w:val="000000"/>
          <w:sz w:val="15"/>
          <w:szCs w:val="15"/>
          <w:highlight w:val="none"/>
          <w:lang w:val="zh-CN"/>
        </w:rPr>
        <w:t>.1 磋商小组根据磋商过程和结果编写评审报告。</w:t>
      </w:r>
    </w:p>
    <w:p w14:paraId="4B90FA82">
      <w:pPr>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14</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签订合同</w:t>
      </w:r>
    </w:p>
    <w:p w14:paraId="13E7222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14.1成交供应商应当</w:t>
      </w:r>
      <w:r>
        <w:rPr>
          <w:rFonts w:hint="eastAsia" w:ascii="宋体" w:hAnsi="宋体" w:cs="宋体"/>
          <w:color w:val="000000"/>
          <w:sz w:val="15"/>
          <w:szCs w:val="15"/>
          <w:highlight w:val="none"/>
          <w:lang w:val="zh-CN"/>
        </w:rPr>
        <w:t>自成交通知书发出之日起三十日内，</w:t>
      </w:r>
      <w:r>
        <w:rPr>
          <w:rFonts w:hint="eastAsia" w:ascii="宋体" w:hAnsi="宋体" w:cs="宋体"/>
          <w:color w:val="000000"/>
          <w:sz w:val="15"/>
          <w:szCs w:val="15"/>
          <w:highlight w:val="none"/>
        </w:rPr>
        <w:t>与采购人签订合同，所签订的合同不得对竞争性磋商文件和响应文件作实质性修改。</w:t>
      </w:r>
    </w:p>
    <w:p w14:paraId="2514D163">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14.2采购人不得向成交供应商提出任何不合理的要求作为签订合同的条件，不得与成交供应商私下订立背离合同实质性内容的协议。</w:t>
      </w:r>
    </w:p>
    <w:p w14:paraId="2AB17970">
      <w:pPr>
        <w:autoSpaceDE w:val="0"/>
        <w:autoSpaceDN w:val="0"/>
        <w:adjustRightInd w:val="0"/>
        <w:snapToGri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14.3 除不可抗力等因素外，中标通知书发出后，采购人改变成交结果，或者成交供应商拒绝签订政府采购合同的，应当承担相应的法律责任。</w:t>
      </w:r>
    </w:p>
    <w:p w14:paraId="758C998C">
      <w:pPr>
        <w:autoSpaceDE w:val="0"/>
        <w:autoSpaceDN w:val="0"/>
        <w:adjustRightInd w:val="0"/>
        <w:snapToGrid w:val="0"/>
        <w:spacing w:line="240" w:lineRule="auto"/>
        <w:ind w:firstLine="420"/>
        <w:rPr>
          <w:rFonts w:hint="eastAsia" w:ascii="宋体" w:hAnsi="宋体" w:cs="宋体"/>
          <w:b/>
          <w:bCs/>
          <w:color w:val="000000"/>
          <w:sz w:val="15"/>
          <w:szCs w:val="15"/>
          <w:highlight w:val="none"/>
        </w:rPr>
      </w:pPr>
      <w:r>
        <w:rPr>
          <w:rFonts w:hint="eastAsia" w:ascii="宋体" w:hAnsi="宋体" w:cs="宋体"/>
          <w:color w:val="000000"/>
          <w:sz w:val="15"/>
          <w:szCs w:val="15"/>
          <w:highlight w:val="none"/>
        </w:rPr>
        <w:t xml:space="preserve">14.4 </w:t>
      </w:r>
      <w:r>
        <w:rPr>
          <w:rFonts w:hint="eastAsia" w:ascii="宋体" w:hAnsi="宋体" w:cs="宋体"/>
          <w:b/>
          <w:bCs/>
          <w:color w:val="000000"/>
          <w:sz w:val="15"/>
          <w:szCs w:val="15"/>
          <w:highlight w:val="none"/>
        </w:rPr>
        <w:t>成交供应商除发生法律规定的不能预见、不能避免并不能克服的客观情况外不得放弃或拒绝签订合同。放弃或拒绝签订合同的，我院视情将其列入不良行为名单，在三年内不得参加我院同类项目招标。</w:t>
      </w:r>
    </w:p>
    <w:p w14:paraId="2DEB8439">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14.5 成交供应商拒绝签订政府采购合同的，或因不可抗力或者自身原因不能履行政府采购合同的，采购人可以视情与排位在成交供应商之后第一位的成交候选供应商签订政府采购合同，也可以重新开展采购活动。</w:t>
      </w:r>
    </w:p>
    <w:p w14:paraId="3F3C5BFE">
      <w:pPr>
        <w:autoSpaceDE w:val="0"/>
        <w:autoSpaceDN w:val="0"/>
        <w:adjustRightInd w:val="0"/>
        <w:snapToGrid w:val="0"/>
        <w:spacing w:line="240" w:lineRule="auto"/>
        <w:ind w:firstLine="420"/>
        <w:rPr>
          <w:rFonts w:hint="eastAsia" w:ascii="宋体" w:hAnsi="宋体" w:cs="宋体"/>
          <w:color w:val="000000"/>
          <w:sz w:val="15"/>
          <w:szCs w:val="15"/>
          <w:highlight w:val="none"/>
        </w:rPr>
      </w:pPr>
      <w:r>
        <w:rPr>
          <w:rFonts w:hint="eastAsia" w:ascii="宋体" w:hAnsi="宋体" w:cs="宋体"/>
          <w:color w:val="000000"/>
          <w:sz w:val="15"/>
          <w:szCs w:val="15"/>
          <w:highlight w:val="none"/>
        </w:rPr>
        <w:t>14.6 政府采购合同履行中，采购人需追加与合同标的相同的服务的，在不改变合同其他条款的前提下，可以与供应商协商签订补充合同，不能超过原合同采购金额。</w:t>
      </w:r>
    </w:p>
    <w:p w14:paraId="09A1FE96">
      <w:pPr>
        <w:autoSpaceDE w:val="0"/>
        <w:autoSpaceDN w:val="0"/>
        <w:adjustRightInd w:val="0"/>
        <w:snapToGrid w:val="0"/>
        <w:spacing w:line="240" w:lineRule="auto"/>
        <w:ind w:firstLine="420"/>
        <w:outlineLvl w:val="0"/>
        <w:rPr>
          <w:rFonts w:hint="eastAsia" w:ascii="宋体" w:hAnsi="宋体" w:cs="宋体"/>
          <w:b/>
          <w:bCs/>
          <w:color w:val="000000"/>
          <w:sz w:val="15"/>
          <w:szCs w:val="15"/>
          <w:highlight w:val="none"/>
        </w:rPr>
      </w:pPr>
      <w:r>
        <w:rPr>
          <w:rFonts w:hint="eastAsia" w:ascii="宋体" w:hAnsi="宋体" w:cs="宋体"/>
          <w:b/>
          <w:color w:val="000000"/>
          <w:sz w:val="15"/>
          <w:szCs w:val="15"/>
          <w:highlight w:val="none"/>
          <w:lang w:val="zh-CN"/>
        </w:rPr>
        <w:t>五、</w:t>
      </w:r>
      <w:r>
        <w:rPr>
          <w:rFonts w:hint="eastAsia" w:ascii="宋体" w:hAnsi="宋体" w:cs="宋体"/>
          <w:b/>
          <w:bCs/>
          <w:color w:val="000000"/>
          <w:sz w:val="15"/>
          <w:szCs w:val="15"/>
          <w:highlight w:val="none"/>
        </w:rPr>
        <w:t>询问、质疑、投诉和诚实信用</w:t>
      </w:r>
    </w:p>
    <w:p w14:paraId="26B075C5">
      <w:pPr>
        <w:tabs>
          <w:tab w:val="left" w:pos="381"/>
        </w:tabs>
        <w:autoSpaceDE w:val="0"/>
        <w:autoSpaceDN w:val="0"/>
        <w:adjustRightInd w:val="0"/>
        <w:snapToGri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bCs/>
          <w:color w:val="000000"/>
          <w:sz w:val="15"/>
          <w:szCs w:val="15"/>
          <w:highlight w:val="none"/>
        </w:rPr>
        <w:t>15</w:t>
      </w:r>
      <w:r>
        <w:rPr>
          <w:rFonts w:hint="eastAsia" w:ascii="宋体" w:hAnsi="宋体" w:cs="宋体"/>
          <w:b/>
          <w:bCs/>
          <w:color w:val="000000"/>
          <w:sz w:val="15"/>
          <w:szCs w:val="15"/>
          <w:highlight w:val="none"/>
          <w:lang w:val="zh-CN"/>
        </w:rPr>
        <w:t>、</w:t>
      </w:r>
      <w:r>
        <w:rPr>
          <w:rFonts w:hint="eastAsia" w:ascii="宋体" w:hAnsi="宋体" w:cs="宋体"/>
          <w:b/>
          <w:bCs/>
          <w:color w:val="000000"/>
          <w:sz w:val="15"/>
          <w:szCs w:val="15"/>
          <w:highlight w:val="none"/>
        </w:rPr>
        <w:t>询问</w:t>
      </w:r>
    </w:p>
    <w:p w14:paraId="5AA2BF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15</w:t>
      </w:r>
      <w:r>
        <w:rPr>
          <w:rFonts w:hint="eastAsia" w:ascii="宋体" w:hAnsi="宋体" w:cs="宋体"/>
          <w:color w:val="000000"/>
          <w:sz w:val="15"/>
          <w:szCs w:val="15"/>
          <w:highlight w:val="none"/>
          <w:lang w:val="zh-CN"/>
        </w:rPr>
        <w:t>.1供应商对磋商活动事项有疑问的，向溧水区人民医院提出询问，南京溧水区人民医院将依法作出答复，但答复的内容不涉及商业秘密。</w:t>
      </w:r>
    </w:p>
    <w:p w14:paraId="309F9FF8">
      <w:pPr>
        <w:autoSpaceDE w:val="0"/>
        <w:autoSpaceDN w:val="0"/>
        <w:adjustRightInd w:val="0"/>
        <w:spacing w:line="240" w:lineRule="auto"/>
        <w:ind w:firstLine="420"/>
        <w:rPr>
          <w:rFonts w:hint="eastAsia" w:ascii="宋体" w:hAnsi="宋体" w:cs="宋体"/>
          <w:b/>
          <w:bCs/>
          <w:color w:val="000000"/>
          <w:sz w:val="15"/>
          <w:szCs w:val="15"/>
          <w:highlight w:val="none"/>
        </w:rPr>
      </w:pPr>
      <w:r>
        <w:rPr>
          <w:rFonts w:hint="eastAsia" w:ascii="宋体" w:hAnsi="宋体" w:cs="宋体"/>
          <w:b/>
          <w:bCs/>
          <w:color w:val="000000"/>
          <w:sz w:val="15"/>
          <w:szCs w:val="15"/>
          <w:highlight w:val="none"/>
        </w:rPr>
        <w:t>16、质疑</w:t>
      </w:r>
    </w:p>
    <w:p w14:paraId="76C8C44F">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.1 供应商认为采购文件、采购过程和成交结果使自己的合法权益受到损害的，可以在知道或者应当知道其权益受到损害之日起七个工作日内，将质疑文件原件送达南京市溧水区人民医院采购办。</w:t>
      </w:r>
    </w:p>
    <w:p w14:paraId="0F1FF507">
      <w:pPr>
        <w:autoSpaceDE w:val="0"/>
        <w:autoSpaceDN w:val="0"/>
        <w:adjustRightInd w:val="0"/>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.2 质疑文件应包括以下主要内容，并</w:t>
      </w:r>
      <w:r>
        <w:rPr>
          <w:rFonts w:hint="eastAsia" w:ascii="宋体" w:hAnsi="宋体" w:cs="宋体"/>
          <w:color w:val="000000"/>
          <w:sz w:val="15"/>
          <w:szCs w:val="15"/>
          <w:highlight w:val="none"/>
        </w:rPr>
        <w:t>按照“谁主张、谁举证”的原则，附上相关证明材料。否则，溧水区人民医院不予受理：</w:t>
      </w:r>
    </w:p>
    <w:p w14:paraId="5807B76D">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（1）质疑项目名称、项目编号、包号、采购公告发布时间、磋商时间；</w:t>
      </w:r>
    </w:p>
    <w:p w14:paraId="3B14BF0B">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（2）提起质疑的日期、具体的质疑事项及事实根据（具体条款）；</w:t>
      </w:r>
    </w:p>
    <w:p w14:paraId="25F1D8C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（3）认为自己合法权益受到损害或可能受到损害的相关证据材料。</w:t>
      </w:r>
    </w:p>
    <w:p w14:paraId="4A16CEBE">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（4）质疑供应商名称、地址、邮编、联系人、联系电话（包括座机、手机、传真号码等）；</w:t>
      </w:r>
    </w:p>
    <w:p w14:paraId="6806378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（5）质疑函应当署名，质疑人为自然人的，应当由本人签字并附有效身份证明；质疑人为法人或其他组织的，应当由法定代表人签字并加盖单位公章。</w:t>
      </w:r>
    </w:p>
    <w:p w14:paraId="518DDE9C">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（6）供应商委托代理质疑的，应当提交授权委托书，并载明委托代理的具体权限和事项。</w:t>
      </w:r>
    </w:p>
    <w:p w14:paraId="4AA1DDF7">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3 </w:t>
      </w:r>
      <w:r>
        <w:rPr>
          <w:rFonts w:hint="eastAsia" w:ascii="宋体" w:hAnsi="宋体" w:cs="宋体"/>
          <w:color w:val="000000"/>
          <w:sz w:val="15"/>
          <w:szCs w:val="15"/>
          <w:highlight w:val="none"/>
          <w:lang w:val="zh-CN"/>
        </w:rPr>
        <w:t xml:space="preserve">质疑供应商是指直接参加本项目采购活动的供应商；对采购文件提出质疑的，应自供应商获得采购文件之日起计算；对采购过程提出质疑的，自采购程序环节结束之日起计算；对采购结果提出质疑的，自采购结果公告期限届满之日起计算。 </w:t>
      </w:r>
    </w:p>
    <w:p w14:paraId="3ECD17A9">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16</w:t>
      </w:r>
      <w:r>
        <w:rPr>
          <w:rFonts w:hint="eastAsia" w:ascii="宋体" w:hAnsi="宋体" w:cs="宋体"/>
          <w:color w:val="000000"/>
          <w:sz w:val="15"/>
          <w:szCs w:val="15"/>
          <w:highlight w:val="none"/>
          <w:lang w:val="zh-CN"/>
        </w:rPr>
        <w:t>.</w:t>
      </w:r>
      <w:r>
        <w:rPr>
          <w:rFonts w:hint="eastAsia" w:ascii="宋体" w:hAnsi="宋体" w:cs="宋体"/>
          <w:color w:val="000000"/>
          <w:sz w:val="15"/>
          <w:szCs w:val="15"/>
          <w:highlight w:val="none"/>
        </w:rPr>
        <w:t xml:space="preserve">4 </w:t>
      </w:r>
      <w:r>
        <w:rPr>
          <w:rFonts w:hint="eastAsia" w:ascii="宋体" w:hAnsi="宋体" w:cs="宋体"/>
          <w:color w:val="000000"/>
          <w:sz w:val="15"/>
          <w:szCs w:val="15"/>
          <w:highlight w:val="none"/>
          <w:lang w:val="zh-CN"/>
        </w:rPr>
        <w:t>代理单位在收到供应商的书面质疑后将及时组织调查核实，在七个工作日内作出答复，并书面通知质疑供应商和其他有关供应商，答复的内容不涉及商业秘密。遵循“谁过错谁负担”的原则，有过错的一方承担调查论证费用。</w:t>
      </w:r>
    </w:p>
    <w:p w14:paraId="5D117A72">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b/>
          <w:bCs/>
          <w:color w:val="000000"/>
          <w:sz w:val="15"/>
          <w:szCs w:val="15"/>
          <w:highlight w:val="none"/>
        </w:rPr>
        <w:t>17、</w:t>
      </w:r>
      <w:r>
        <w:rPr>
          <w:rFonts w:hint="eastAsia" w:ascii="宋体" w:hAnsi="宋体" w:cs="宋体"/>
          <w:b/>
          <w:bCs/>
          <w:color w:val="000000"/>
          <w:sz w:val="15"/>
          <w:szCs w:val="15"/>
          <w:highlight w:val="none"/>
          <w:lang w:val="zh-CN"/>
        </w:rPr>
        <w:t>投诉</w:t>
      </w:r>
    </w:p>
    <w:p w14:paraId="02934F45">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17</w:t>
      </w:r>
      <w:r>
        <w:rPr>
          <w:rFonts w:hint="eastAsia" w:ascii="宋体" w:hAnsi="宋体" w:cs="宋体"/>
          <w:color w:val="000000"/>
          <w:sz w:val="15"/>
          <w:szCs w:val="15"/>
          <w:highlight w:val="none"/>
          <w:lang w:val="zh-CN"/>
        </w:rPr>
        <w:t>.1质疑供应商对代理单位的答复不满意，代理单位未在规定的时间内作出答复的，可以在答复期满后</w:t>
      </w:r>
      <w:r>
        <w:rPr>
          <w:rFonts w:hint="eastAsia" w:ascii="宋体" w:hAnsi="宋体" w:cs="宋体"/>
          <w:b/>
          <w:bCs/>
          <w:color w:val="000000"/>
          <w:sz w:val="15"/>
          <w:szCs w:val="15"/>
          <w:highlight w:val="none"/>
          <w:lang w:val="zh-CN"/>
        </w:rPr>
        <w:t>十五个工作日内</w:t>
      </w:r>
      <w:r>
        <w:rPr>
          <w:rFonts w:hint="eastAsia" w:ascii="宋体" w:hAnsi="宋体" w:cs="宋体"/>
          <w:color w:val="000000"/>
          <w:sz w:val="15"/>
          <w:szCs w:val="15"/>
          <w:highlight w:val="none"/>
          <w:lang w:val="zh-CN"/>
        </w:rPr>
        <w:t>向采购人同级财政部门投诉。</w:t>
      </w:r>
    </w:p>
    <w:p w14:paraId="6854B419">
      <w:pPr>
        <w:tabs>
          <w:tab w:val="left" w:pos="5355"/>
        </w:tabs>
        <w:autoSpaceDE w:val="0"/>
        <w:autoSpaceDN w:val="0"/>
        <w:adjustRightInd w:val="0"/>
        <w:spacing w:line="240" w:lineRule="auto"/>
        <w:ind w:firstLine="420"/>
        <w:rPr>
          <w:rFonts w:hint="eastAsia" w:ascii="宋体" w:hAnsi="宋体" w:cs="宋体"/>
          <w:b/>
          <w:bCs/>
          <w:color w:val="000000"/>
          <w:sz w:val="15"/>
          <w:szCs w:val="15"/>
          <w:highlight w:val="none"/>
          <w:lang w:val="zh-CN"/>
        </w:rPr>
      </w:pPr>
      <w:r>
        <w:rPr>
          <w:rFonts w:hint="eastAsia" w:ascii="宋体" w:hAnsi="宋体" w:cs="宋体"/>
          <w:b/>
          <w:color w:val="000000"/>
          <w:sz w:val="15"/>
          <w:szCs w:val="15"/>
          <w:highlight w:val="none"/>
        </w:rPr>
        <w:t>18</w:t>
      </w:r>
      <w:r>
        <w:rPr>
          <w:rFonts w:hint="eastAsia" w:ascii="宋体" w:hAnsi="宋体" w:cs="宋体"/>
          <w:b/>
          <w:color w:val="000000"/>
          <w:sz w:val="15"/>
          <w:szCs w:val="15"/>
          <w:highlight w:val="none"/>
          <w:lang w:val="zh-CN"/>
        </w:rPr>
        <w:t>、</w:t>
      </w:r>
      <w:r>
        <w:rPr>
          <w:rFonts w:hint="eastAsia" w:ascii="宋体" w:hAnsi="宋体" w:cs="宋体"/>
          <w:b/>
          <w:bCs/>
          <w:color w:val="000000"/>
          <w:sz w:val="15"/>
          <w:szCs w:val="15"/>
          <w:highlight w:val="none"/>
          <w:lang w:val="zh-CN"/>
        </w:rPr>
        <w:t>诚实信用</w:t>
      </w:r>
    </w:p>
    <w:p w14:paraId="148E1F78">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.1供应商之间不得相互串通报价，不得妨碍其他供应商的公平竞争，不得损害采购人和其他供应商的合法权益。</w:t>
      </w:r>
    </w:p>
    <w:p w14:paraId="2B59F6CB">
      <w:pPr>
        <w:autoSpaceDE w:val="0"/>
        <w:autoSpaceDN w:val="0"/>
        <w:adjustRightInd w:val="0"/>
        <w:spacing w:line="240" w:lineRule="auto"/>
        <w:ind w:firstLine="420"/>
        <w:rPr>
          <w:rFonts w:hint="eastAsia" w:ascii="宋体" w:hAnsi="宋体" w:cs="宋体"/>
          <w:color w:val="000000"/>
          <w:sz w:val="15"/>
          <w:szCs w:val="15"/>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.2供应商不得以向代理单位工作人员、磋商委员会成员行贿或者采取其他不正当手段谋取成交。经查实供应商有此行为的，</w:t>
      </w:r>
      <w:r>
        <w:rPr>
          <w:rFonts w:hint="eastAsia" w:ascii="宋体" w:hAnsi="宋体" w:cs="宋体"/>
          <w:color w:val="000000"/>
          <w:sz w:val="15"/>
          <w:szCs w:val="15"/>
          <w:highlight w:val="none"/>
        </w:rPr>
        <w:t>将在江苏省政府采购网公告，政府采购管理部门将供应商列入不良行为记录名单，按照《政府采购法》有关规定处理。</w:t>
      </w:r>
    </w:p>
    <w:p w14:paraId="355D8610">
      <w:pPr>
        <w:spacing w:line="240" w:lineRule="auto"/>
        <w:ind w:firstLine="300" w:firstLineChars="200"/>
        <w:rPr>
          <w:rFonts w:hint="eastAsia" w:ascii="宋体" w:hAnsi="宋体" w:cs="宋体"/>
          <w:color w:val="000000"/>
          <w:sz w:val="15"/>
          <w:szCs w:val="15"/>
          <w:highlight w:val="none"/>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.3供应商不得虚假质疑和恶意质疑，并对质疑内容的真实性承担责任。</w:t>
      </w:r>
      <w:r>
        <w:rPr>
          <w:rFonts w:hint="eastAsia" w:ascii="宋体" w:hAnsi="宋体" w:cs="宋体"/>
          <w:color w:val="000000"/>
          <w:sz w:val="15"/>
          <w:szCs w:val="15"/>
          <w:highlight w:val="none"/>
        </w:rPr>
        <w:t>供应商或者其他利害关系人通过捏造事实、伪造证明材料等方式提出异议或投诉，阻碍采购活动正常进行的，属于严重不良行为，南京市溧水区人民医院将其列入不良行为记录名单，并依法予以处罚。</w:t>
      </w:r>
    </w:p>
    <w:p w14:paraId="5FECF61E">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5"/>
          <w:szCs w:val="15"/>
          <w:highlight w:val="none"/>
        </w:rPr>
        <w:t>18</w:t>
      </w:r>
      <w:r>
        <w:rPr>
          <w:rFonts w:hint="eastAsia" w:ascii="宋体" w:hAnsi="宋体" w:cs="宋体"/>
          <w:color w:val="000000"/>
          <w:sz w:val="15"/>
          <w:szCs w:val="15"/>
          <w:highlight w:val="none"/>
          <w:lang w:val="zh-CN"/>
        </w:rPr>
        <w:t>.4 供应商不得虚假承诺，否则，按照提供虚假材料谋取成交处理。</w:t>
      </w:r>
    </w:p>
    <w:p w14:paraId="20AAC2BA">
      <w:pPr>
        <w:autoSpaceDE w:val="0"/>
        <w:autoSpaceDN w:val="0"/>
        <w:adjustRightInd w:val="0"/>
        <w:spacing w:line="340" w:lineRule="exact"/>
        <w:ind w:firstLine="420"/>
        <w:rPr>
          <w:rFonts w:hint="eastAsia" w:ascii="宋体" w:hAnsi="宋体" w:cs="宋体"/>
          <w:color w:val="000000"/>
          <w:sz w:val="24"/>
          <w:szCs w:val="24"/>
          <w:highlight w:val="none"/>
          <w:lang w:val="zh-CN"/>
        </w:rPr>
      </w:pPr>
    </w:p>
    <w:p w14:paraId="51FD2DA4">
      <w:pPr>
        <w:autoSpaceDE w:val="0"/>
        <w:autoSpaceDN w:val="0"/>
        <w:adjustRightInd w:val="0"/>
        <w:spacing w:line="340" w:lineRule="exact"/>
        <w:ind w:firstLine="420"/>
        <w:rPr>
          <w:rFonts w:hint="eastAsia" w:ascii="宋体" w:hAnsi="宋体" w:cs="宋体"/>
          <w:color w:val="000000"/>
          <w:sz w:val="24"/>
          <w:szCs w:val="24"/>
          <w:highlight w:val="none"/>
        </w:rPr>
      </w:pPr>
    </w:p>
    <w:p w14:paraId="78CCBEC5">
      <w:pPr>
        <w:spacing w:line="340" w:lineRule="exact"/>
        <w:ind w:firstLine="562" w:firstLineChars="200"/>
        <w:jc w:val="center"/>
        <w:rPr>
          <w:rFonts w:hint="eastAsia" w:ascii="宋体" w:hAnsi="宋体" w:cs="宋体"/>
          <w:b/>
          <w:bCs/>
          <w:color w:val="000000"/>
          <w:sz w:val="28"/>
          <w:szCs w:val="28"/>
          <w:highlight w:val="none"/>
          <w:lang w:val="zh-CN"/>
        </w:rPr>
        <w:sectPr>
          <w:pgSz w:w="11906" w:h="16838"/>
          <w:pgMar w:top="1043" w:right="1179" w:bottom="1043" w:left="1179" w:header="851" w:footer="992" w:gutter="0"/>
          <w:cols w:space="0" w:num="1"/>
          <w:docGrid w:type="lines" w:linePitch="312" w:charSpace="0"/>
        </w:sectPr>
      </w:pPr>
    </w:p>
    <w:p w14:paraId="69EF3CF0">
      <w:pPr>
        <w:numPr>
          <w:ilvl w:val="0"/>
          <w:numId w:val="3"/>
        </w:numPr>
        <w:autoSpaceDE w:val="0"/>
        <w:autoSpaceDN w:val="0"/>
        <w:adjustRightInd w:val="0"/>
        <w:snapToGrid w:val="0"/>
        <w:spacing w:before="156" w:beforeLines="50" w:after="156" w:afterLines="50" w:line="360" w:lineRule="auto"/>
        <w:jc w:val="center"/>
        <w:rPr>
          <w:rFonts w:hint="eastAsia" w:ascii="宋体" w:hAnsi="宋体" w:cs="宋体"/>
          <w:b/>
          <w:bCs/>
          <w:color w:val="000000"/>
          <w:sz w:val="22"/>
          <w:szCs w:val="22"/>
          <w:highlight w:val="none"/>
          <w:lang w:val="en-US" w:eastAsia="zh-CN"/>
        </w:rPr>
      </w:pPr>
      <w:r>
        <w:rPr>
          <w:rFonts w:hint="eastAsia" w:ascii="宋体" w:hAnsi="宋体" w:cs="宋体"/>
          <w:b/>
          <w:bCs/>
          <w:color w:val="000000"/>
          <w:sz w:val="22"/>
          <w:szCs w:val="22"/>
          <w:highlight w:val="none"/>
          <w:lang w:val="zh-CN"/>
        </w:rPr>
        <w:t>采购需求</w:t>
      </w:r>
      <w:bookmarkStart w:id="0" w:name="_Toc49090575"/>
      <w:bookmarkStart w:id="1" w:name="_Toc26554093"/>
      <w:bookmarkStart w:id="2" w:name="_Toc5953"/>
    </w:p>
    <w:p w14:paraId="77E0F9C3">
      <w:pPr>
        <w:widowControl/>
        <w:ind w:firstLine="643" w:firstLineChars="200"/>
        <w:jc w:val="center"/>
        <w:rPr>
          <w:rFonts w:hint="eastAsia" w:ascii="宋体" w:hAnsi="宋体" w:cs="宋体"/>
          <w:sz w:val="32"/>
          <w:szCs w:val="32"/>
        </w:rPr>
      </w:pPr>
      <w:r>
        <w:rPr>
          <w:rFonts w:hint="eastAsia"/>
          <w:b/>
          <w:sz w:val="32"/>
          <w:szCs w:val="32"/>
          <w:lang w:val="en-US" w:eastAsia="zh-CN"/>
        </w:rPr>
        <w:t>老年科高频振动排痰仪1台</w:t>
      </w:r>
      <w:r>
        <w:rPr>
          <w:rFonts w:hint="eastAsia"/>
          <w:b/>
          <w:sz w:val="32"/>
          <w:szCs w:val="32"/>
        </w:rPr>
        <w:t>，</w:t>
      </w:r>
      <w:r>
        <w:rPr>
          <w:rFonts w:hint="eastAsia"/>
          <w:b/>
          <w:sz w:val="32"/>
          <w:szCs w:val="32"/>
          <w:lang w:val="en-US" w:eastAsia="zh-CN"/>
        </w:rPr>
        <w:t>预算3万</w:t>
      </w:r>
      <w:r>
        <w:rPr>
          <w:rFonts w:hint="eastAsia"/>
          <w:b/>
          <w:sz w:val="32"/>
          <w:szCs w:val="32"/>
        </w:rPr>
        <w:t>元</w:t>
      </w:r>
    </w:p>
    <w:p w14:paraId="1CF0BDFD">
      <w:pPr>
        <w:keepNext w:val="0"/>
        <w:keepLines w:val="0"/>
        <w:pageBreakBefore w:val="0"/>
        <w:widowControl w:val="0"/>
        <w:kinsoku/>
        <w:wordWrap/>
        <w:overflowPunct/>
        <w:topLinePunct w:val="0"/>
        <w:autoSpaceDE/>
        <w:autoSpaceDN/>
        <w:bidi w:val="0"/>
        <w:adjustRightInd/>
        <w:snapToGrid/>
        <w:jc w:val="left"/>
        <w:textAlignment w:val="auto"/>
      </w:pPr>
      <w:r>
        <w:rPr>
          <w:rFonts w:hint="eastAsia"/>
        </w:rPr>
        <w:t>(▲参数需要提供技术支撑材料（</w:t>
      </w:r>
      <w:r>
        <w:rPr>
          <w:rFonts w:hint="eastAsia"/>
          <w:highlight w:val="none"/>
        </w:rPr>
        <w:t>技术支撑材料为医疗器械注册证、加盖厂家公章的产品白皮书（原件）、</w:t>
      </w:r>
      <w:r>
        <w:rPr>
          <w:rFonts w:hint="eastAsia"/>
          <w:szCs w:val="24"/>
          <w:highlight w:val="none"/>
        </w:rPr>
        <w:t>国家承认的</w:t>
      </w:r>
      <w:r>
        <w:rPr>
          <w:rFonts w:hint="eastAsia"/>
          <w:highlight w:val="none"/>
        </w:rPr>
        <w:t>第三方出具的产品检测报告</w:t>
      </w:r>
      <w:r>
        <w:rPr>
          <w:rFonts w:hint="eastAsia"/>
          <w:szCs w:val="24"/>
          <w:highlight w:val="none"/>
        </w:rPr>
        <w:t>、厂家公开发行的宣传彩页等</w:t>
      </w:r>
      <w:r>
        <w:rPr>
          <w:rFonts w:hint="eastAsia"/>
        </w:rPr>
        <w:t>），并在技术响应表中标注对应支撑材料的内容在投标文件中的页码，未提供证明材料的视为负偏离。）</w:t>
      </w:r>
      <w:r>
        <w:rPr>
          <w:rFonts w:hint="eastAsia" w:ascii="Calibri" w:hAnsi="Calibri" w:eastAsia="宋体" w:cs="Times New Roman"/>
          <w:kern w:val="2"/>
          <w:sz w:val="21"/>
          <w:szCs w:val="21"/>
          <w:highlight w:val="none"/>
          <w:lang w:val="en-US" w:eastAsia="zh-CN" w:bidi="ar-SA"/>
        </w:rPr>
        <w:t>（需提供证明材料）</w:t>
      </w:r>
    </w:p>
    <w:p w14:paraId="69CF3EED">
      <w:pPr>
        <w:keepNext w:val="0"/>
        <w:keepLines w:val="0"/>
        <w:pageBreakBefore w:val="0"/>
        <w:widowControl w:val="0"/>
        <w:kinsoku/>
        <w:wordWrap/>
        <w:overflowPunct/>
        <w:topLinePunct w:val="0"/>
        <w:autoSpaceDE/>
        <w:autoSpaceDN/>
        <w:bidi w:val="0"/>
        <w:adjustRightInd/>
        <w:snapToGrid/>
        <w:jc w:val="left"/>
        <w:textAlignment w:val="auto"/>
        <w:rPr>
          <w:rFonts w:hint="eastAsia"/>
          <w:b/>
          <w:bCs/>
          <w:lang w:val="en-US" w:eastAsia="zh-CN"/>
        </w:rPr>
      </w:pPr>
      <w:r>
        <w:rPr>
          <w:rFonts w:hint="eastAsia"/>
          <w:b/>
          <w:bCs/>
          <w:lang w:val="en-US" w:eastAsia="zh-CN"/>
        </w:rPr>
        <w:t>一、</w:t>
      </w:r>
      <w:r>
        <w:rPr>
          <w:rFonts w:hint="eastAsia"/>
          <w:b/>
          <w:bCs/>
        </w:rPr>
        <w:t>主要技术参数</w:t>
      </w:r>
    </w:p>
    <w:p w14:paraId="1F3DDFE3">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1.适用范围：高频振动排痰功能用于胸腔外部处置时进行气道清除治疗，适用于分泌物排出困难或由粘液阻塞引起的肺膨胀不全患者，可促进气道清除或改善支气管引流；</w:t>
      </w:r>
    </w:p>
    <w:p w14:paraId="5127D21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▲2.显示屏：≥8英寸液晶触摸屏；</w:t>
      </w:r>
      <w:r>
        <w:rPr>
          <w:rFonts w:hint="eastAsia" w:ascii="Calibri" w:hAnsi="Calibri" w:eastAsia="宋体" w:cs="Times New Roman"/>
          <w:kern w:val="2"/>
          <w:sz w:val="21"/>
          <w:szCs w:val="21"/>
          <w:highlight w:val="none"/>
          <w:lang w:val="en-US" w:eastAsia="zh-CN" w:bidi="ar-SA"/>
        </w:rPr>
        <w:t>（需提供证明材料）</w:t>
      </w:r>
    </w:p>
    <w:p w14:paraId="75C909E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3.操作方式：具有触摸和飞梭旋钮调节两种操作方式；</w:t>
      </w:r>
    </w:p>
    <w:p w14:paraId="2F3C548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eastAsia="zh-CN"/>
        </w:rPr>
      </w:pPr>
      <w:r>
        <w:rPr>
          <w:rFonts w:hint="eastAsia"/>
          <w:highlight w:val="none"/>
          <w:lang w:val="en-US" w:eastAsia="zh-CN"/>
        </w:rPr>
        <w:t>▲4.压力调节范围1~37mmHg，</w:t>
      </w:r>
      <w:r>
        <w:rPr>
          <w:rFonts w:hint="eastAsia"/>
          <w:highlight w:val="none"/>
          <w:lang w:eastAsia="zh-CN"/>
        </w:rPr>
        <w:t>步进1mmHg, 压力≥</w:t>
      </w:r>
      <w:r>
        <w:rPr>
          <w:rFonts w:hint="eastAsia"/>
          <w:highlight w:val="none"/>
          <w:lang w:val="en-US" w:eastAsia="zh-CN"/>
        </w:rPr>
        <w:t>37</w:t>
      </w:r>
      <w:r>
        <w:rPr>
          <w:rFonts w:hint="eastAsia"/>
          <w:highlight w:val="none"/>
          <w:lang w:eastAsia="zh-CN"/>
        </w:rPr>
        <w:t>级可调；</w:t>
      </w:r>
      <w:r>
        <w:rPr>
          <w:rFonts w:hint="eastAsia" w:ascii="Calibri" w:hAnsi="Calibri" w:eastAsia="宋体" w:cs="Times New Roman"/>
          <w:kern w:val="2"/>
          <w:sz w:val="21"/>
          <w:szCs w:val="21"/>
          <w:highlight w:val="none"/>
          <w:lang w:val="en-US" w:eastAsia="zh-CN" w:bidi="ar-SA"/>
        </w:rPr>
        <w:t>（需提供证明材料）</w:t>
      </w:r>
    </w:p>
    <w:p w14:paraId="124C65DB">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▲5.频率调节范围≥1~20Hz，步进1Hz，气动频率设置上限成人型不超过25Hz；</w:t>
      </w:r>
      <w:r>
        <w:rPr>
          <w:rFonts w:hint="eastAsia" w:ascii="Calibri" w:hAnsi="Calibri" w:eastAsia="宋体" w:cs="Times New Roman"/>
          <w:kern w:val="2"/>
          <w:sz w:val="21"/>
          <w:szCs w:val="21"/>
          <w:highlight w:val="none"/>
          <w:lang w:val="en-US" w:eastAsia="zh-CN" w:bidi="ar-SA"/>
        </w:rPr>
        <w:t>（需提供证明材料）</w:t>
      </w:r>
    </w:p>
    <w:p w14:paraId="1544392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6.治疗时间设定范围：1~60min可调，步进1min，可设置正/倒计时模式，治疗时间设定上限不超过60min；</w:t>
      </w:r>
    </w:p>
    <w:p w14:paraId="6DB591A3">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7.噪声正常工作≤65dB(A)，最大功率工作≤75dB(A)</w:t>
      </w:r>
    </w:p>
    <w:p w14:paraId="4AACA63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▲8.治疗模式：≥20种治疗模式，包括常规模式、梯度模式、循环模式、肺康复模式、心肺功能锻炼模式、老年模式、重症模式等；（需提供证明材料）</w:t>
      </w:r>
    </w:p>
    <w:p w14:paraId="3C29CCF8">
      <w:pPr>
        <w:keepNext w:val="0"/>
        <w:keepLines w:val="0"/>
        <w:pageBreakBefore w:val="0"/>
        <w:widowControl w:val="0"/>
        <w:numPr>
          <w:ilvl w:val="0"/>
          <w:numId w:val="4"/>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运行中工作模式名称、时间、压力、频率在屏幕上实时显示；</w:t>
      </w:r>
    </w:p>
    <w:p w14:paraId="6350546B">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▲10.具有断电保护功能：设备断电后自动存储上次设定参数；</w:t>
      </w:r>
      <w:r>
        <w:rPr>
          <w:rFonts w:hint="eastAsia" w:ascii="Calibri" w:hAnsi="Calibri" w:eastAsia="宋体" w:cs="Times New Roman"/>
          <w:kern w:val="2"/>
          <w:sz w:val="21"/>
          <w:szCs w:val="21"/>
          <w:highlight w:val="none"/>
          <w:lang w:val="en-US" w:eastAsia="zh-CN" w:bidi="ar-SA"/>
        </w:rPr>
        <w:t>（需提供证明材料）</w:t>
      </w:r>
    </w:p>
    <w:p w14:paraId="71119C22">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11.具有欠压提示、压力/频率参数设置异常提醒；</w:t>
      </w:r>
    </w:p>
    <w:p w14:paraId="02DAC9BC">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▲12.咳嗽暂停功能：灵敏度3档可调，咳嗽暂停时间调节范围：5-300s；</w:t>
      </w:r>
      <w:r>
        <w:rPr>
          <w:rFonts w:hint="eastAsia" w:ascii="Calibri" w:hAnsi="Calibri" w:eastAsia="宋体" w:cs="Times New Roman"/>
          <w:kern w:val="2"/>
          <w:sz w:val="21"/>
          <w:szCs w:val="21"/>
          <w:highlight w:val="none"/>
          <w:lang w:val="en-US" w:eastAsia="zh-CN" w:bidi="ar-SA"/>
        </w:rPr>
        <w:t>（需提供证明材料）</w:t>
      </w:r>
    </w:p>
    <w:p w14:paraId="5E943F7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▲13.可实现治疗压力和治疗频率自动检测、反馈、和调节功能，保证患者治疗过程中的安全性；（需提供检验报告或技术要求）</w:t>
      </w:r>
    </w:p>
    <w:p w14:paraId="4B5D4E1D">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14.具有储存和查询患者历史治疗信息的功能，可存储≥1.4万条历史治疗信息；</w:t>
      </w:r>
    </w:p>
    <w:p w14:paraId="3190A760">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15.支持WIFI和蓝牙无线扩展功能；</w:t>
      </w:r>
    </w:p>
    <w:p w14:paraId="7D4E612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▲16.可选配血氧模块：主机具有血氧接口，监测患者血氧饱和度和脉率；</w:t>
      </w:r>
      <w:r>
        <w:rPr>
          <w:rFonts w:hint="eastAsia" w:ascii="Calibri" w:hAnsi="Calibri" w:eastAsia="宋体" w:cs="Times New Roman"/>
          <w:kern w:val="2"/>
          <w:sz w:val="21"/>
          <w:szCs w:val="21"/>
          <w:highlight w:val="none"/>
          <w:lang w:val="en-US" w:eastAsia="zh-CN" w:bidi="ar-SA"/>
        </w:rPr>
        <w:t>（需提供证明材料）</w:t>
      </w:r>
    </w:p>
    <w:p w14:paraId="146E4AA4">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17.可通过电动线控手柄暂停/恢复振动排痰治疗；</w:t>
      </w:r>
    </w:p>
    <w:p w14:paraId="3FA384D7">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18.主机具备紧急停止按键，在紧急情况下可一键停机；</w:t>
      </w:r>
    </w:p>
    <w:p w14:paraId="708CCE5F">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eastAsia="zh-CN"/>
        </w:rPr>
      </w:pPr>
      <w:r>
        <w:rPr>
          <w:rFonts w:hint="eastAsia"/>
          <w:highlight w:val="none"/>
          <w:lang w:val="en-US" w:eastAsia="zh-CN"/>
        </w:rPr>
        <w:t>19.</w:t>
      </w:r>
      <w:r>
        <w:rPr>
          <w:rFonts w:hint="eastAsia"/>
          <w:highlight w:val="none"/>
          <w:lang w:eastAsia="zh-CN"/>
        </w:rPr>
        <w:t>空气导管配置：双空气导管，内置金属丝支撑，可自动锁定，接口处软硅胶接头，管路闭合严密，不易损坏；</w:t>
      </w:r>
    </w:p>
    <w:p w14:paraId="158CFB0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20.多种规格气囊背心可选，具有重复性使用和单人使用的气囊背心；</w:t>
      </w:r>
    </w:p>
    <w:p w14:paraId="55162BCE">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21.气囊背心前胸V型设计，避免压迫胃部，后背分隔式设计，避免压迫脊柱；具有可拆卸式设计，外层可干洗和机洗，洗后可与内层气囊重新组装；</w:t>
      </w:r>
    </w:p>
    <w:p w14:paraId="583CA391">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▲22.产品通过CE认证，入选优秀国产医疗设备产品目录；</w:t>
      </w:r>
      <w:r>
        <w:rPr>
          <w:rFonts w:hint="eastAsia" w:ascii="Calibri" w:hAnsi="Calibri" w:eastAsia="宋体" w:cs="Times New Roman"/>
          <w:kern w:val="2"/>
          <w:sz w:val="21"/>
          <w:szCs w:val="21"/>
          <w:highlight w:val="none"/>
          <w:lang w:val="en-US" w:eastAsia="zh-CN" w:bidi="ar-SA"/>
        </w:rPr>
        <w:t>（需提供</w:t>
      </w:r>
      <w:r>
        <w:rPr>
          <w:rFonts w:hint="eastAsia"/>
          <w:highlight w:val="none"/>
          <w:lang w:val="en-US" w:eastAsia="zh-CN"/>
        </w:rPr>
        <w:t>相关证书</w:t>
      </w:r>
      <w:r>
        <w:rPr>
          <w:rFonts w:hint="eastAsia" w:ascii="Calibri" w:hAnsi="Calibri" w:eastAsia="宋体" w:cs="Times New Roman"/>
          <w:kern w:val="2"/>
          <w:sz w:val="21"/>
          <w:szCs w:val="21"/>
          <w:highlight w:val="none"/>
          <w:lang w:val="en-US" w:eastAsia="zh-CN" w:bidi="ar-SA"/>
        </w:rPr>
        <w:t>）</w:t>
      </w:r>
    </w:p>
    <w:p w14:paraId="1330457F">
      <w:pPr>
        <w:keepNext w:val="0"/>
        <w:keepLines w:val="0"/>
        <w:pageBreakBefore w:val="0"/>
        <w:widowControl w:val="0"/>
        <w:kinsoku/>
        <w:wordWrap/>
        <w:overflowPunct/>
        <w:topLinePunct w:val="0"/>
        <w:autoSpaceDE/>
        <w:autoSpaceDN/>
        <w:bidi w:val="0"/>
        <w:adjustRightInd/>
        <w:snapToGrid/>
        <w:jc w:val="left"/>
        <w:textAlignment w:val="auto"/>
        <w:rPr>
          <w:rFonts w:hint="eastAsia"/>
          <w:highlight w:val="none"/>
          <w:lang w:val="en-US" w:eastAsia="zh-CN"/>
        </w:rPr>
      </w:pPr>
      <w:r>
        <w:rPr>
          <w:rFonts w:hint="eastAsia"/>
          <w:highlight w:val="none"/>
          <w:lang w:val="en-US" w:eastAsia="zh-CN"/>
        </w:rPr>
        <w:t>23.产品使用年限：≥10年。</w:t>
      </w:r>
    </w:p>
    <w:p w14:paraId="6CBA7087">
      <w:pPr>
        <w:keepNext w:val="0"/>
        <w:keepLines w:val="0"/>
        <w:pageBreakBefore w:val="0"/>
        <w:numPr>
          <w:ilvl w:val="0"/>
          <w:numId w:val="5"/>
        </w:numPr>
        <w:kinsoku/>
        <w:wordWrap/>
        <w:overflowPunct/>
        <w:topLinePunct w:val="0"/>
        <w:autoSpaceDE/>
        <w:autoSpaceDN/>
        <w:bidi w:val="0"/>
        <w:adjustRightInd/>
        <w:spacing w:line="240" w:lineRule="auto"/>
        <w:jc w:val="left"/>
        <w:textAlignment w:val="auto"/>
        <w:rPr>
          <w:b/>
          <w:bCs/>
        </w:rPr>
      </w:pPr>
      <w:r>
        <w:rPr>
          <w:rFonts w:hint="eastAsia"/>
          <w:b/>
          <w:bCs/>
        </w:rPr>
        <w:t>配置要求</w:t>
      </w:r>
    </w:p>
    <w:p w14:paraId="32521C45">
      <w:pPr>
        <w:widowControl/>
        <w:numPr>
          <w:ilvl w:val="0"/>
          <w:numId w:val="6"/>
        </w:numPr>
        <w:jc w:val="left"/>
        <w:rPr>
          <w:rFonts w:hint="eastAsia" w:cs="Times New Roman"/>
          <w:kern w:val="2"/>
          <w:sz w:val="21"/>
          <w:szCs w:val="21"/>
          <w:highlight w:val="none"/>
          <w:lang w:val="en-US" w:eastAsia="zh-CN" w:bidi="ar-SA"/>
        </w:rPr>
      </w:pPr>
      <w:r>
        <w:rPr>
          <w:rFonts w:hint="eastAsia" w:cs="Times New Roman"/>
          <w:kern w:val="2"/>
          <w:sz w:val="21"/>
          <w:szCs w:val="21"/>
          <w:highlight w:val="none"/>
          <w:lang w:val="en-US" w:eastAsia="zh-CN" w:bidi="ar-SA"/>
        </w:rPr>
        <w:t>主机  1台</w:t>
      </w:r>
    </w:p>
    <w:p w14:paraId="53CF778A">
      <w:pPr>
        <w:widowControl/>
        <w:numPr>
          <w:ilvl w:val="0"/>
          <w:numId w:val="6"/>
        </w:numPr>
        <w:jc w:val="left"/>
        <w:rPr>
          <w:rFonts w:hint="default" w:cs="Times New Roman"/>
          <w:kern w:val="2"/>
          <w:sz w:val="21"/>
          <w:szCs w:val="21"/>
          <w:highlight w:val="none"/>
          <w:lang w:val="en-US" w:eastAsia="zh-CN" w:bidi="ar-SA"/>
        </w:rPr>
      </w:pPr>
      <w:r>
        <w:rPr>
          <w:rFonts w:hint="eastAsia"/>
          <w:highlight w:val="none"/>
          <w:lang w:val="en-US" w:eastAsia="zh-CN"/>
        </w:rPr>
        <w:t>可重复性使用背心  4个</w:t>
      </w:r>
    </w:p>
    <w:p w14:paraId="5454245D">
      <w:pPr>
        <w:widowControl/>
        <w:numPr>
          <w:ilvl w:val="0"/>
          <w:numId w:val="6"/>
        </w:numPr>
        <w:jc w:val="left"/>
        <w:rPr>
          <w:rFonts w:hint="default" w:cs="Times New Roman"/>
          <w:kern w:val="2"/>
          <w:sz w:val="21"/>
          <w:szCs w:val="21"/>
          <w:highlight w:val="none"/>
          <w:lang w:val="en-US" w:eastAsia="zh-CN" w:bidi="ar-SA"/>
        </w:rPr>
      </w:pPr>
      <w:r>
        <w:rPr>
          <w:rFonts w:hint="eastAsia"/>
          <w:highlight w:val="none"/>
          <w:lang w:val="en-US" w:eastAsia="zh-CN"/>
        </w:rPr>
        <w:t>可重复性使用胸带  4个</w:t>
      </w:r>
    </w:p>
    <w:p w14:paraId="6DFC9E60">
      <w:pPr>
        <w:widowControl/>
        <w:jc w:val="left"/>
        <w:rPr>
          <w:rFonts w:hint="eastAsia" w:hAnsi="宋体" w:cs="宋体"/>
          <w:bCs/>
        </w:rPr>
      </w:pPr>
      <w:r>
        <w:rPr>
          <w:rFonts w:hint="eastAsia" w:hAnsi="宋体" w:cs="宋体"/>
          <w:bCs/>
          <w:lang w:val="en-US" w:eastAsia="zh-CN"/>
        </w:rPr>
        <w:t>三</w:t>
      </w:r>
      <w:r>
        <w:rPr>
          <w:rFonts w:hint="eastAsia" w:hAnsi="宋体" w:cs="宋体"/>
          <w:bCs/>
        </w:rPr>
        <w:t>、商务要求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1886"/>
        <w:gridCol w:w="8502"/>
      </w:tblGrid>
      <w:tr w14:paraId="2D17A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tcPr>
          <w:p w14:paraId="40BB7F02">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序号</w:t>
            </w:r>
          </w:p>
        </w:tc>
        <w:tc>
          <w:tcPr>
            <w:tcW w:w="839" w:type="pct"/>
          </w:tcPr>
          <w:p w14:paraId="4FCF31F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商务和服务项目</w:t>
            </w:r>
          </w:p>
        </w:tc>
        <w:tc>
          <w:tcPr>
            <w:tcW w:w="3783" w:type="pct"/>
          </w:tcPr>
          <w:p w14:paraId="4CCFDA07">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商务和服务要求</w:t>
            </w:r>
          </w:p>
        </w:tc>
      </w:tr>
      <w:tr w14:paraId="6F90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vAlign w:val="center"/>
          </w:tcPr>
          <w:p w14:paraId="7F34797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1</w:t>
            </w:r>
          </w:p>
        </w:tc>
        <w:tc>
          <w:tcPr>
            <w:tcW w:w="839" w:type="pct"/>
            <w:vAlign w:val="center"/>
          </w:tcPr>
          <w:p w14:paraId="7591C423">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交货期</w:t>
            </w:r>
          </w:p>
        </w:tc>
        <w:tc>
          <w:tcPr>
            <w:tcW w:w="3783" w:type="pct"/>
            <w:vAlign w:val="center"/>
          </w:tcPr>
          <w:p w14:paraId="05E8A4EB">
            <w:pPr>
              <w:widowControl/>
              <w:spacing w:line="360" w:lineRule="auto"/>
              <w:jc w:val="left"/>
              <w:rPr>
                <w:rFonts w:hint="eastAsia" w:hAnsi="宋体" w:cs="宋体"/>
                <w:bCs/>
                <w:snapToGrid w:val="0"/>
                <w:color w:val="000000"/>
                <w:szCs w:val="24"/>
                <w:lang w:val="zh-CN"/>
              </w:rPr>
            </w:pPr>
            <w:r>
              <w:rPr>
                <w:rFonts w:hint="eastAsia" w:hAnsi="宋体" w:cs="宋体"/>
                <w:bCs/>
                <w:color w:val="000000"/>
                <w:szCs w:val="24"/>
              </w:rPr>
              <w:t>合同签订生效后一个月内</w:t>
            </w:r>
          </w:p>
        </w:tc>
      </w:tr>
      <w:tr w14:paraId="24CCC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6" w:type="pct"/>
            <w:vAlign w:val="center"/>
          </w:tcPr>
          <w:p w14:paraId="35B665F2">
            <w:pPr>
              <w:autoSpaceDE w:val="0"/>
              <w:autoSpaceDN w:val="0"/>
              <w:adjustRightInd w:val="0"/>
              <w:snapToGrid w:val="0"/>
              <w:spacing w:line="360" w:lineRule="auto"/>
              <w:jc w:val="center"/>
              <w:rPr>
                <w:rFonts w:hint="eastAsia" w:hAnsi="宋体" w:cs="宋体"/>
                <w:bCs/>
                <w:snapToGrid w:val="0"/>
                <w:color w:val="000000"/>
                <w:szCs w:val="24"/>
                <w:lang w:val="zh-CN"/>
              </w:rPr>
            </w:pPr>
            <w:r>
              <w:rPr>
                <w:rFonts w:hint="eastAsia" w:hAnsi="宋体" w:cs="宋体"/>
                <w:bCs/>
                <w:snapToGrid w:val="0"/>
                <w:color w:val="000000"/>
                <w:szCs w:val="24"/>
                <w:lang w:val="zh-CN"/>
              </w:rPr>
              <w:t>2</w:t>
            </w:r>
          </w:p>
        </w:tc>
        <w:tc>
          <w:tcPr>
            <w:tcW w:w="839" w:type="pct"/>
            <w:vAlign w:val="center"/>
          </w:tcPr>
          <w:p w14:paraId="793A7BDB">
            <w:pPr>
              <w:widowControl/>
              <w:spacing w:line="360" w:lineRule="auto"/>
              <w:jc w:val="center"/>
              <w:rPr>
                <w:rFonts w:hint="eastAsia" w:hAnsi="宋体" w:cs="宋体"/>
                <w:bCs/>
                <w:snapToGrid w:val="0"/>
                <w:color w:val="000000"/>
                <w:szCs w:val="24"/>
                <w:lang w:val="zh-CN"/>
              </w:rPr>
            </w:pPr>
            <w:r>
              <w:rPr>
                <w:rFonts w:hint="eastAsia" w:hAnsi="宋体" w:cs="宋体"/>
                <w:bCs/>
                <w:color w:val="000000"/>
                <w:szCs w:val="24"/>
              </w:rPr>
              <w:t>保修期</w:t>
            </w:r>
          </w:p>
        </w:tc>
        <w:tc>
          <w:tcPr>
            <w:tcW w:w="3783" w:type="pct"/>
            <w:vAlign w:val="center"/>
          </w:tcPr>
          <w:p w14:paraId="31D883AA">
            <w:pPr>
              <w:widowControl/>
              <w:spacing w:line="360" w:lineRule="auto"/>
              <w:jc w:val="left"/>
              <w:rPr>
                <w:rFonts w:hint="default" w:hAnsi="宋体" w:eastAsia="宋体" w:cs="宋体"/>
                <w:bCs/>
                <w:snapToGrid w:val="0"/>
                <w:color w:val="000000"/>
                <w:szCs w:val="24"/>
                <w:lang w:val="en-US" w:eastAsia="zh-CN"/>
              </w:rPr>
            </w:pPr>
            <w:r>
              <w:rPr>
                <w:rFonts w:hint="eastAsia" w:hAnsi="宋体" w:cs="宋体"/>
                <w:bCs/>
                <w:color w:val="000000"/>
                <w:szCs w:val="24"/>
              </w:rPr>
              <w:t>整机原厂免费质保≧</w:t>
            </w:r>
            <w:r>
              <w:rPr>
                <w:rFonts w:hint="eastAsia" w:hAnsi="宋体" w:cs="宋体"/>
                <w:bCs/>
                <w:color w:val="000000"/>
                <w:szCs w:val="24"/>
                <w:lang w:val="en-US" w:eastAsia="zh-CN"/>
              </w:rPr>
              <w:t>3</w:t>
            </w:r>
            <w:r>
              <w:rPr>
                <w:rFonts w:hint="eastAsia" w:hAnsi="宋体" w:cs="宋体"/>
                <w:bCs/>
                <w:color w:val="000000"/>
                <w:szCs w:val="24"/>
              </w:rPr>
              <w:t>年</w:t>
            </w:r>
          </w:p>
        </w:tc>
      </w:tr>
      <w:tr w14:paraId="072D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0" w:hRule="atLeast"/>
          <w:jc w:val="center"/>
        </w:trPr>
        <w:tc>
          <w:tcPr>
            <w:tcW w:w="376" w:type="pct"/>
            <w:vAlign w:val="center"/>
          </w:tcPr>
          <w:p w14:paraId="359A20B9">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3</w:t>
            </w:r>
          </w:p>
        </w:tc>
        <w:tc>
          <w:tcPr>
            <w:tcW w:w="839" w:type="pct"/>
            <w:vAlign w:val="center"/>
          </w:tcPr>
          <w:p w14:paraId="2D549AA0">
            <w:pPr>
              <w:widowControl/>
              <w:spacing w:line="360" w:lineRule="auto"/>
              <w:jc w:val="center"/>
              <w:rPr>
                <w:bCs/>
                <w:szCs w:val="24"/>
              </w:rPr>
            </w:pPr>
            <w:r>
              <w:rPr>
                <w:rFonts w:hint="eastAsia" w:hAnsi="宋体" w:cs="宋体"/>
                <w:bCs/>
                <w:szCs w:val="24"/>
              </w:rPr>
              <w:t>售后</w:t>
            </w:r>
          </w:p>
          <w:p w14:paraId="4196CB21">
            <w:pPr>
              <w:widowControl/>
              <w:spacing w:line="360" w:lineRule="auto"/>
              <w:jc w:val="center"/>
              <w:rPr>
                <w:rFonts w:hint="eastAsia" w:hAnsi="宋体" w:cs="宋体"/>
                <w:bCs/>
                <w:snapToGrid w:val="0"/>
                <w:szCs w:val="24"/>
                <w:lang w:val="zh-CN"/>
              </w:rPr>
            </w:pPr>
            <w:r>
              <w:rPr>
                <w:rFonts w:hint="eastAsia" w:hAnsi="宋体" w:cs="宋体"/>
                <w:bCs/>
                <w:szCs w:val="24"/>
              </w:rPr>
              <w:t>服务承诺</w:t>
            </w:r>
          </w:p>
        </w:tc>
        <w:tc>
          <w:tcPr>
            <w:tcW w:w="3783" w:type="pct"/>
          </w:tcPr>
          <w:p w14:paraId="64CBF422">
            <w:pPr>
              <w:widowControl/>
              <w:adjustRightInd w:val="0"/>
              <w:snapToGrid w:val="0"/>
              <w:spacing w:line="360" w:lineRule="auto"/>
              <w:jc w:val="left"/>
              <w:rPr>
                <w:rFonts w:hint="eastAsia" w:hAnsi="宋体" w:cs="宋体"/>
                <w:bCs/>
                <w:szCs w:val="24"/>
              </w:rPr>
            </w:pPr>
            <w:r>
              <w:rPr>
                <w:rFonts w:hint="eastAsia" w:hAnsi="宋体" w:cs="宋体"/>
                <w:bCs/>
                <w:szCs w:val="24"/>
              </w:rPr>
              <w:t>（1）在保修期内，卖方每年提供</w:t>
            </w:r>
            <w:r>
              <w:rPr>
                <w:rFonts w:hint="eastAsia" w:hAnsi="宋体" w:cs="宋体"/>
                <w:bCs/>
                <w:szCs w:val="24"/>
                <w:lang w:val="en-US" w:eastAsia="zh-CN"/>
              </w:rPr>
              <w:t>2</w:t>
            </w:r>
            <w:r>
              <w:rPr>
                <w:rFonts w:hint="eastAsia" w:hAnsi="宋体" w:cs="宋体"/>
                <w:bCs/>
                <w:szCs w:val="24"/>
              </w:rPr>
              <w:t>次免费上门</w:t>
            </w:r>
            <w:r>
              <w:rPr>
                <w:rFonts w:hint="eastAsia" w:hAnsi="宋体" w:cs="宋体"/>
                <w:bCs/>
                <w:szCs w:val="24"/>
                <w:lang w:val="en-US" w:eastAsia="zh-CN"/>
              </w:rPr>
              <w:t>巡检</w:t>
            </w:r>
            <w:r>
              <w:rPr>
                <w:rFonts w:hint="eastAsia" w:hAnsi="宋体" w:cs="宋体"/>
                <w:bCs/>
                <w:szCs w:val="24"/>
              </w:rPr>
              <w:t>服务，提供书面维护保养记录</w:t>
            </w:r>
            <w:r>
              <w:rPr>
                <w:rFonts w:hint="eastAsia" w:hAnsi="宋体" w:cs="宋体"/>
                <w:bCs/>
                <w:szCs w:val="24"/>
                <w:lang w:eastAsia="zh-CN"/>
              </w:rPr>
              <w:t>，</w:t>
            </w:r>
            <w:r>
              <w:rPr>
                <w:rFonts w:hint="eastAsia" w:hAnsi="宋体" w:cs="宋体"/>
                <w:bCs/>
                <w:szCs w:val="24"/>
              </w:rPr>
              <w:t>如有损坏或质量不合格者，卖方应及时给予修复和更换，其修理和更换应免费。正常修理周期和修理期间需提供免费</w:t>
            </w:r>
            <w:r>
              <w:rPr>
                <w:rFonts w:hint="eastAsia" w:hAnsi="宋体" w:cs="宋体"/>
                <w:bCs/>
                <w:szCs w:val="24"/>
                <w:lang w:val="en-US" w:eastAsia="zh-CN"/>
              </w:rPr>
              <w:t>备用机</w:t>
            </w:r>
            <w:r>
              <w:rPr>
                <w:rFonts w:hint="eastAsia" w:hAnsi="宋体" w:cs="宋体"/>
                <w:bCs/>
                <w:szCs w:val="24"/>
              </w:rPr>
              <w:t>。</w:t>
            </w:r>
          </w:p>
          <w:p w14:paraId="5F111FF1">
            <w:pPr>
              <w:widowControl/>
              <w:adjustRightInd w:val="0"/>
              <w:snapToGrid w:val="0"/>
              <w:spacing w:line="360" w:lineRule="auto"/>
              <w:jc w:val="left"/>
              <w:rPr>
                <w:rFonts w:hint="eastAsia" w:hAnsi="宋体" w:cs="宋体"/>
                <w:bCs/>
                <w:szCs w:val="24"/>
              </w:rPr>
            </w:pPr>
            <w:r>
              <w:rPr>
                <w:rFonts w:hint="eastAsia" w:hAnsi="宋体" w:cs="宋体"/>
                <w:bCs/>
                <w:szCs w:val="24"/>
              </w:rPr>
              <w:t>（2）在保修期外，卖方为仪器提供终身维修服务，维修问题出现时，按技术参数服务要求相应条款处理。</w:t>
            </w:r>
          </w:p>
          <w:p w14:paraId="7631D00C">
            <w:pPr>
              <w:widowControl/>
              <w:adjustRightInd w:val="0"/>
              <w:snapToGrid w:val="0"/>
              <w:spacing w:line="360" w:lineRule="auto"/>
              <w:jc w:val="left"/>
              <w:rPr>
                <w:rFonts w:hint="eastAsia" w:hAnsi="宋体" w:cs="宋体"/>
                <w:bCs/>
                <w:szCs w:val="24"/>
              </w:rPr>
            </w:pPr>
            <w:r>
              <w:rPr>
                <w:rFonts w:hint="eastAsia" w:hAnsi="宋体" w:cs="宋体"/>
                <w:bCs/>
                <w:szCs w:val="24"/>
              </w:rPr>
              <w:t>（3）在保修期内，如果原厂方鉴定设备因为人为损坏，厂方须出具具有法定权威性第三方检测证明，否则一律视为保修范围内容处理。</w:t>
            </w:r>
          </w:p>
          <w:p w14:paraId="1921B6EB">
            <w:pPr>
              <w:widowControl/>
              <w:adjustRightInd w:val="0"/>
              <w:snapToGrid w:val="0"/>
              <w:spacing w:line="360" w:lineRule="auto"/>
              <w:jc w:val="left"/>
              <w:rPr>
                <w:rFonts w:hint="eastAsia" w:hAnsi="宋体" w:cs="宋体"/>
                <w:bCs/>
                <w:szCs w:val="24"/>
              </w:rPr>
            </w:pPr>
            <w:r>
              <w:rPr>
                <w:rFonts w:hint="eastAsia" w:hAnsi="宋体" w:cs="宋体"/>
                <w:bCs/>
                <w:szCs w:val="24"/>
              </w:rPr>
              <w:t>（4）承诺在硬件条件允许的情况下，终身免费升级软件，并对新软件的功能免费培训。要求供货厂家在中国设立固定维修站，并配备专业维修工程师，提供及时有效的售后服务并配合包括所有附件在内的安装、调试和验收。</w:t>
            </w:r>
          </w:p>
          <w:p w14:paraId="6070C397">
            <w:pPr>
              <w:widowControl/>
              <w:adjustRightInd w:val="0"/>
              <w:snapToGrid w:val="0"/>
              <w:spacing w:line="360" w:lineRule="auto"/>
              <w:jc w:val="left"/>
              <w:rPr>
                <w:rFonts w:hint="eastAsia" w:hAnsi="宋体" w:cs="宋体"/>
                <w:bCs/>
                <w:szCs w:val="24"/>
              </w:rPr>
            </w:pPr>
            <w:r>
              <w:rPr>
                <w:rFonts w:hint="eastAsia" w:hAnsi="宋体" w:cs="宋体"/>
                <w:bCs/>
                <w:szCs w:val="24"/>
              </w:rPr>
              <w:t>（5）终身提供免费的应用咨询及技术帮助。</w:t>
            </w:r>
          </w:p>
          <w:p w14:paraId="47379889">
            <w:pPr>
              <w:widowControl/>
              <w:adjustRightInd w:val="0"/>
              <w:snapToGrid w:val="0"/>
              <w:spacing w:line="360" w:lineRule="auto"/>
              <w:jc w:val="left"/>
              <w:rPr>
                <w:rFonts w:hint="eastAsia" w:hAnsi="宋体" w:cs="宋体"/>
                <w:bCs/>
                <w:szCs w:val="24"/>
              </w:rPr>
            </w:pPr>
            <w:r>
              <w:rPr>
                <w:rFonts w:hint="eastAsia" w:hAnsi="宋体" w:cs="宋体"/>
                <w:bCs/>
                <w:szCs w:val="24"/>
              </w:rPr>
              <w:t>（6）提供零配件及易损件明细表，包括品牌、产地、厂家、型号、质保期满后优惠价格。</w:t>
            </w:r>
          </w:p>
        </w:tc>
      </w:tr>
      <w:tr w14:paraId="0BE7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376" w:type="pct"/>
            <w:vAlign w:val="center"/>
          </w:tcPr>
          <w:p w14:paraId="6FBCFC73">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4</w:t>
            </w:r>
          </w:p>
        </w:tc>
        <w:tc>
          <w:tcPr>
            <w:tcW w:w="839" w:type="pct"/>
            <w:vAlign w:val="center"/>
          </w:tcPr>
          <w:p w14:paraId="3500373F">
            <w:pPr>
              <w:widowControl/>
              <w:spacing w:line="360" w:lineRule="auto"/>
              <w:jc w:val="center"/>
              <w:rPr>
                <w:rFonts w:hint="eastAsia" w:hAnsi="宋体" w:cs="宋体"/>
                <w:bCs/>
                <w:snapToGrid w:val="0"/>
                <w:szCs w:val="24"/>
                <w:lang w:val="zh-CN"/>
              </w:rPr>
            </w:pPr>
            <w:r>
              <w:rPr>
                <w:rFonts w:hint="eastAsia" w:hAnsi="宋体" w:cs="宋体"/>
                <w:bCs/>
                <w:szCs w:val="24"/>
              </w:rPr>
              <w:t>培训</w:t>
            </w:r>
          </w:p>
        </w:tc>
        <w:tc>
          <w:tcPr>
            <w:tcW w:w="3783" w:type="pct"/>
            <w:vAlign w:val="center"/>
          </w:tcPr>
          <w:p w14:paraId="14ED0BEE">
            <w:pPr>
              <w:widowControl/>
              <w:spacing w:line="360" w:lineRule="auto"/>
              <w:rPr>
                <w:rFonts w:hint="eastAsia" w:hAnsi="宋体" w:cs="宋体"/>
                <w:bCs/>
                <w:snapToGrid w:val="0"/>
                <w:szCs w:val="24"/>
                <w:lang w:val="zh-CN"/>
              </w:rPr>
            </w:pPr>
            <w:r>
              <w:rPr>
                <w:rFonts w:hint="eastAsia" w:hAnsi="宋体" w:cs="宋体"/>
                <w:bCs/>
                <w:szCs w:val="24"/>
              </w:rPr>
              <w:t>负责对采购人、最终用户的操作、维修人员在项目所在地进行业务培训，请投标人自报可以提供业务培训的人数及天数，并应达到能熟练操作并能排除常见故障的标准；</w:t>
            </w:r>
          </w:p>
        </w:tc>
      </w:tr>
      <w:tr w14:paraId="5B51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376" w:type="pct"/>
            <w:vAlign w:val="center"/>
          </w:tcPr>
          <w:p w14:paraId="571E6241">
            <w:pPr>
              <w:autoSpaceDE w:val="0"/>
              <w:autoSpaceDN w:val="0"/>
              <w:adjustRightInd w:val="0"/>
              <w:snapToGrid w:val="0"/>
              <w:spacing w:line="360" w:lineRule="auto"/>
              <w:jc w:val="center"/>
              <w:rPr>
                <w:rFonts w:hint="eastAsia" w:hAnsi="宋体" w:cs="宋体"/>
                <w:bCs/>
                <w:snapToGrid w:val="0"/>
                <w:szCs w:val="24"/>
                <w:lang w:val="zh-CN"/>
              </w:rPr>
            </w:pPr>
            <w:r>
              <w:rPr>
                <w:rFonts w:hint="eastAsia" w:hAnsi="宋体" w:cs="宋体"/>
                <w:bCs/>
                <w:snapToGrid w:val="0"/>
                <w:szCs w:val="24"/>
                <w:lang w:val="zh-CN"/>
              </w:rPr>
              <w:t>5</w:t>
            </w:r>
          </w:p>
        </w:tc>
        <w:tc>
          <w:tcPr>
            <w:tcW w:w="839" w:type="pct"/>
            <w:vAlign w:val="center"/>
          </w:tcPr>
          <w:p w14:paraId="3DDD0C9D">
            <w:pPr>
              <w:widowControl/>
              <w:spacing w:line="360" w:lineRule="auto"/>
              <w:jc w:val="center"/>
              <w:rPr>
                <w:rFonts w:hint="eastAsia" w:hAnsi="宋体" w:cs="宋体"/>
                <w:bCs/>
                <w:snapToGrid w:val="0"/>
                <w:szCs w:val="24"/>
                <w:lang w:val="zh-CN"/>
              </w:rPr>
            </w:pPr>
            <w:r>
              <w:rPr>
                <w:rFonts w:hint="eastAsia" w:hAnsi="宋体" w:cs="宋体"/>
                <w:bCs/>
                <w:szCs w:val="24"/>
              </w:rPr>
              <w:t>验收标准</w:t>
            </w:r>
          </w:p>
        </w:tc>
        <w:tc>
          <w:tcPr>
            <w:tcW w:w="3783" w:type="pct"/>
          </w:tcPr>
          <w:p w14:paraId="1CE25A36">
            <w:pPr>
              <w:widowControl/>
              <w:adjustRightInd w:val="0"/>
              <w:snapToGrid w:val="0"/>
              <w:spacing w:line="360" w:lineRule="auto"/>
              <w:jc w:val="left"/>
              <w:rPr>
                <w:rFonts w:hint="eastAsia" w:hAnsi="宋体" w:cs="宋体"/>
                <w:bCs/>
                <w:szCs w:val="24"/>
              </w:rPr>
            </w:pPr>
            <w:r>
              <w:rPr>
                <w:rFonts w:hint="eastAsia" w:hAnsi="宋体" w:cs="宋体"/>
                <w:bCs/>
                <w:szCs w:val="24"/>
              </w:rPr>
              <w:t>1.招标文件技术规格书中明确的标准和技术要求；</w:t>
            </w:r>
          </w:p>
          <w:p w14:paraId="5B21EC4C">
            <w:pPr>
              <w:widowControl/>
              <w:adjustRightInd w:val="0"/>
              <w:snapToGrid w:val="0"/>
              <w:spacing w:line="360" w:lineRule="auto"/>
              <w:jc w:val="left"/>
              <w:rPr>
                <w:rFonts w:hint="eastAsia" w:hAnsi="宋体" w:cs="宋体"/>
                <w:bCs/>
                <w:szCs w:val="24"/>
              </w:rPr>
            </w:pPr>
            <w:r>
              <w:rPr>
                <w:rFonts w:hint="eastAsia" w:hAnsi="宋体" w:cs="宋体"/>
                <w:bCs/>
                <w:szCs w:val="24"/>
              </w:rPr>
              <w:t>2.与合同货物有关的最新版本的中华人民共和国国家/国际标准和部颁标准；</w:t>
            </w:r>
          </w:p>
          <w:p w14:paraId="12AAEF8B">
            <w:pPr>
              <w:widowControl/>
              <w:adjustRightInd w:val="0"/>
              <w:snapToGrid w:val="0"/>
              <w:spacing w:line="360" w:lineRule="auto"/>
              <w:jc w:val="left"/>
              <w:rPr>
                <w:rFonts w:hint="eastAsia" w:hAnsi="宋体" w:cs="宋体"/>
                <w:bCs/>
                <w:szCs w:val="24"/>
              </w:rPr>
            </w:pPr>
            <w:r>
              <w:rPr>
                <w:rFonts w:hint="eastAsia" w:hAnsi="宋体" w:cs="宋体"/>
                <w:bCs/>
                <w:szCs w:val="24"/>
              </w:rPr>
              <w:t>3.货物合格证书技术资料中的精度、质量要求；</w:t>
            </w:r>
          </w:p>
          <w:p w14:paraId="5D6515C3">
            <w:pPr>
              <w:widowControl/>
              <w:adjustRightInd w:val="0"/>
              <w:snapToGrid w:val="0"/>
              <w:spacing w:line="360" w:lineRule="auto"/>
              <w:jc w:val="left"/>
              <w:rPr>
                <w:rFonts w:hint="eastAsia" w:hAnsi="宋体" w:cs="宋体"/>
                <w:bCs/>
                <w:szCs w:val="24"/>
              </w:rPr>
            </w:pPr>
            <w:r>
              <w:rPr>
                <w:rFonts w:hint="eastAsia" w:hAnsi="宋体" w:cs="宋体"/>
                <w:bCs/>
                <w:szCs w:val="24"/>
              </w:rPr>
              <w:t>4.投标人在澄清投标文件时作出的承诺，经买方确认后，将作为对货物的验收依据之一；</w:t>
            </w:r>
          </w:p>
          <w:p w14:paraId="4CB37517">
            <w:pPr>
              <w:widowControl/>
              <w:spacing w:line="360" w:lineRule="auto"/>
              <w:jc w:val="left"/>
              <w:rPr>
                <w:rFonts w:hint="eastAsia" w:hAnsi="宋体" w:cs="宋体"/>
                <w:bCs/>
                <w:szCs w:val="24"/>
              </w:rPr>
            </w:pPr>
            <w:r>
              <w:rPr>
                <w:rFonts w:hint="eastAsia" w:hAnsi="宋体" w:cs="宋体"/>
                <w:bCs/>
                <w:szCs w:val="24"/>
              </w:rPr>
              <w:t>5.双方签订的合同技术附件所规定的条款。</w:t>
            </w:r>
          </w:p>
          <w:p w14:paraId="2D7E164C">
            <w:pPr>
              <w:widowControl/>
              <w:spacing w:line="360" w:lineRule="auto"/>
              <w:jc w:val="left"/>
              <w:rPr>
                <w:rFonts w:hint="eastAsia" w:hAnsi="宋体" w:cs="宋体"/>
                <w:bCs/>
                <w:szCs w:val="24"/>
                <w:lang w:val="zh-CN"/>
              </w:rPr>
            </w:pPr>
            <w:r>
              <w:rPr>
                <w:rFonts w:hint="eastAsia" w:hAnsi="宋体" w:cs="宋体"/>
                <w:b/>
                <w:szCs w:val="24"/>
              </w:rPr>
              <w:t>6.所供设备生产日期在6个月内（国产）或12个月内（进口）。</w:t>
            </w:r>
          </w:p>
        </w:tc>
      </w:tr>
      <w:tr w14:paraId="528F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2CA39762">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6</w:t>
            </w:r>
          </w:p>
        </w:tc>
        <w:tc>
          <w:tcPr>
            <w:tcW w:w="839" w:type="pct"/>
            <w:vAlign w:val="center"/>
          </w:tcPr>
          <w:p w14:paraId="1BD1C809">
            <w:pPr>
              <w:widowControl/>
              <w:spacing w:line="360" w:lineRule="auto"/>
              <w:jc w:val="center"/>
              <w:rPr>
                <w:rFonts w:hint="eastAsia" w:hAnsi="宋体" w:cs="宋体"/>
                <w:bCs/>
                <w:snapToGrid w:val="0"/>
                <w:color w:val="auto"/>
                <w:szCs w:val="24"/>
                <w:lang w:val="zh-CN"/>
              </w:rPr>
            </w:pPr>
            <w:r>
              <w:rPr>
                <w:rFonts w:hint="eastAsia" w:hAnsi="宋体" w:cs="宋体"/>
                <w:bCs/>
                <w:color w:val="auto"/>
                <w:szCs w:val="24"/>
              </w:rPr>
              <w:t>交货地点</w:t>
            </w:r>
          </w:p>
        </w:tc>
        <w:tc>
          <w:tcPr>
            <w:tcW w:w="3783" w:type="pct"/>
            <w:vAlign w:val="center"/>
          </w:tcPr>
          <w:p w14:paraId="2F18188D">
            <w:pPr>
              <w:widowControl/>
              <w:spacing w:line="360" w:lineRule="auto"/>
              <w:jc w:val="left"/>
              <w:rPr>
                <w:rFonts w:hint="eastAsia" w:hAnsi="宋体" w:cs="宋体"/>
                <w:bCs/>
                <w:snapToGrid w:val="0"/>
                <w:color w:val="auto"/>
                <w:szCs w:val="24"/>
                <w:lang w:val="zh-CN"/>
              </w:rPr>
            </w:pPr>
            <w:r>
              <w:rPr>
                <w:rFonts w:hint="eastAsia" w:hAnsi="宋体" w:cs="宋体"/>
                <w:bCs/>
                <w:color w:val="auto"/>
                <w:szCs w:val="24"/>
              </w:rPr>
              <w:t>采购人指定地点</w:t>
            </w:r>
          </w:p>
        </w:tc>
      </w:tr>
      <w:tr w14:paraId="0732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376" w:type="pct"/>
            <w:vAlign w:val="center"/>
          </w:tcPr>
          <w:p w14:paraId="50E6A4B1">
            <w:pPr>
              <w:autoSpaceDE w:val="0"/>
              <w:autoSpaceDN w:val="0"/>
              <w:adjustRightInd w:val="0"/>
              <w:snapToGrid w:val="0"/>
              <w:spacing w:line="360" w:lineRule="auto"/>
              <w:jc w:val="center"/>
              <w:rPr>
                <w:rFonts w:hint="eastAsia" w:hAnsi="宋体" w:eastAsia="宋体" w:cs="宋体"/>
                <w:bCs/>
                <w:snapToGrid w:val="0"/>
                <w:color w:val="auto"/>
                <w:szCs w:val="24"/>
                <w:lang w:val="en-US" w:eastAsia="zh-CN"/>
              </w:rPr>
            </w:pPr>
            <w:r>
              <w:rPr>
                <w:rFonts w:hint="eastAsia" w:hAnsi="宋体" w:cs="宋体"/>
                <w:bCs/>
                <w:snapToGrid w:val="0"/>
                <w:color w:val="auto"/>
                <w:szCs w:val="24"/>
                <w:lang w:val="en-US" w:eastAsia="zh-CN"/>
              </w:rPr>
              <w:t>7</w:t>
            </w:r>
          </w:p>
        </w:tc>
        <w:tc>
          <w:tcPr>
            <w:tcW w:w="839" w:type="pct"/>
            <w:vAlign w:val="center"/>
          </w:tcPr>
          <w:p w14:paraId="6E361991">
            <w:pPr>
              <w:widowControl/>
              <w:spacing w:line="360" w:lineRule="auto"/>
              <w:jc w:val="center"/>
              <w:rPr>
                <w:rFonts w:hint="eastAsia" w:hAnsi="宋体" w:cs="宋体"/>
                <w:bCs/>
                <w:color w:val="auto"/>
                <w:szCs w:val="24"/>
              </w:rPr>
            </w:pPr>
            <w:r>
              <w:rPr>
                <w:rFonts w:hint="eastAsia" w:hAnsi="宋体" w:cs="宋体"/>
                <w:bCs/>
                <w:color w:val="auto"/>
                <w:szCs w:val="24"/>
              </w:rPr>
              <w:t>设备安装调试</w:t>
            </w:r>
          </w:p>
        </w:tc>
        <w:tc>
          <w:tcPr>
            <w:tcW w:w="3783" w:type="pct"/>
            <w:vAlign w:val="center"/>
          </w:tcPr>
          <w:p w14:paraId="7A5F1B37">
            <w:pPr>
              <w:widowControl/>
              <w:spacing w:line="360" w:lineRule="auto"/>
              <w:jc w:val="left"/>
              <w:rPr>
                <w:bCs/>
                <w:color w:val="auto"/>
                <w:szCs w:val="24"/>
              </w:rPr>
            </w:pPr>
            <w:r>
              <w:rPr>
                <w:rFonts w:hint="eastAsia" w:hAnsi="宋体" w:cs="宋体"/>
                <w:bCs/>
                <w:color w:val="auto"/>
                <w:szCs w:val="24"/>
              </w:rPr>
              <w:t>投标人应派有经验、有资格的人员（应有证明文件）及时对货物及全系统进行调试。若在合同规定的日期前未完成调试，或采购人对调试情况不满意，则采购人有权要求货物制造商派员前来调试，投标人不得拒绝，所发生的费用由投标人承担。</w:t>
            </w:r>
          </w:p>
        </w:tc>
      </w:tr>
      <w:tr w14:paraId="3A09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6" w:type="pct"/>
            <w:vAlign w:val="center"/>
          </w:tcPr>
          <w:p w14:paraId="7A2DAD1D">
            <w:pPr>
              <w:autoSpaceDE w:val="0"/>
              <w:autoSpaceDN w:val="0"/>
              <w:adjustRightInd w:val="0"/>
              <w:snapToGrid w:val="0"/>
              <w:spacing w:line="360" w:lineRule="auto"/>
              <w:jc w:val="center"/>
              <w:rPr>
                <w:rFonts w:hint="eastAsia" w:hAnsi="宋体" w:eastAsia="宋体" w:cs="宋体"/>
                <w:bCs/>
                <w:snapToGrid w:val="0"/>
                <w:color w:val="auto"/>
                <w:szCs w:val="24"/>
                <w:highlight w:val="none"/>
                <w:lang w:val="en-US" w:eastAsia="zh-CN"/>
              </w:rPr>
            </w:pPr>
            <w:r>
              <w:rPr>
                <w:rFonts w:hint="eastAsia" w:hAnsi="宋体" w:cs="宋体"/>
                <w:bCs/>
                <w:snapToGrid w:val="0"/>
                <w:color w:val="auto"/>
                <w:szCs w:val="24"/>
                <w:highlight w:val="none"/>
                <w:lang w:val="en-US" w:eastAsia="zh-CN"/>
              </w:rPr>
              <w:t>8</w:t>
            </w:r>
          </w:p>
        </w:tc>
        <w:tc>
          <w:tcPr>
            <w:tcW w:w="839" w:type="pct"/>
            <w:vAlign w:val="center"/>
          </w:tcPr>
          <w:p w14:paraId="46F57B86">
            <w:pPr>
              <w:widowControl/>
              <w:spacing w:line="360" w:lineRule="auto"/>
              <w:jc w:val="center"/>
              <w:rPr>
                <w:rFonts w:hint="eastAsia" w:hAnsi="宋体" w:cs="宋体"/>
                <w:bCs/>
                <w:snapToGrid w:val="0"/>
                <w:color w:val="auto"/>
                <w:szCs w:val="24"/>
                <w:highlight w:val="none"/>
                <w:lang w:val="zh-CN"/>
              </w:rPr>
            </w:pPr>
            <w:r>
              <w:rPr>
                <w:rFonts w:hint="eastAsia" w:hAnsi="宋体" w:cs="宋体"/>
                <w:bCs/>
                <w:color w:val="auto"/>
                <w:szCs w:val="24"/>
                <w:highlight w:val="none"/>
              </w:rPr>
              <w:t>付款方式</w:t>
            </w:r>
          </w:p>
        </w:tc>
        <w:tc>
          <w:tcPr>
            <w:tcW w:w="3783" w:type="pct"/>
          </w:tcPr>
          <w:p w14:paraId="3870E6EA">
            <w:pPr>
              <w:widowControl/>
              <w:spacing w:line="360" w:lineRule="auto"/>
              <w:jc w:val="left"/>
              <w:rPr>
                <w:rFonts w:hint="default" w:hAnsi="宋体" w:eastAsia="宋体" w:cs="宋体"/>
                <w:bCs/>
                <w:color w:val="auto"/>
                <w:szCs w:val="24"/>
                <w:highlight w:val="none"/>
                <w:lang w:val="en-US" w:eastAsia="zh-CN"/>
              </w:rPr>
            </w:pPr>
            <w:r>
              <w:rPr>
                <w:rFonts w:hint="eastAsia" w:hAnsi="宋体" w:cs="宋体"/>
                <w:b w:val="0"/>
                <w:bCs/>
                <w:szCs w:val="24"/>
              </w:rPr>
              <w:t>乙方开具符合国家规定的发票，到货安装调试经甲方验收合格并提供原厂质保函后按甲方正常流程付</w:t>
            </w:r>
            <w:r>
              <w:rPr>
                <w:rFonts w:hint="eastAsia" w:hAnsi="宋体" w:cs="宋体"/>
                <w:b w:val="0"/>
                <w:bCs/>
                <w:szCs w:val="24"/>
                <w:lang w:val="en-US" w:eastAsia="zh-CN"/>
              </w:rPr>
              <w:t>9</w:t>
            </w:r>
            <w:r>
              <w:rPr>
                <w:rFonts w:hint="eastAsia" w:hAnsi="宋体" w:cs="宋体"/>
                <w:b w:val="0"/>
                <w:bCs/>
                <w:szCs w:val="24"/>
              </w:rPr>
              <w:t>0%，正常使用一年后无息支付10%。</w:t>
            </w:r>
          </w:p>
        </w:tc>
      </w:tr>
    </w:tbl>
    <w:p w14:paraId="666102D8">
      <w:pPr>
        <w:autoSpaceDE w:val="0"/>
        <w:autoSpaceDN w:val="0"/>
        <w:adjustRightInd w:val="0"/>
        <w:snapToGrid w:val="0"/>
        <w:spacing w:before="156" w:beforeLines="50" w:after="156" w:afterLines="50" w:line="360" w:lineRule="auto"/>
        <w:jc w:val="left"/>
        <w:rPr>
          <w:rFonts w:hint="eastAsia" w:hAnsi="宋体" w:cs="宋体"/>
          <w:snapToGrid w:val="0"/>
          <w:sz w:val="20"/>
          <w:szCs w:val="18"/>
          <w:u w:val="single"/>
          <w:lang w:val="zh-CN" w:eastAsia="zh-CN"/>
        </w:rPr>
      </w:pPr>
      <w:r>
        <w:rPr>
          <w:rFonts w:hint="eastAsia" w:hAnsi="宋体" w:cs="宋体"/>
          <w:snapToGrid w:val="0"/>
          <w:u w:val="single"/>
          <w:lang w:val="zh-CN"/>
        </w:rPr>
        <w:t>注: 商务需求中所有指标必须全部响应，任意一项不满足将判定为无效投标</w:t>
      </w:r>
    </w:p>
    <w:p w14:paraId="151AD080">
      <w:pPr>
        <w:widowControl/>
        <w:spacing w:line="240" w:lineRule="auto"/>
        <w:jc w:val="center"/>
        <w:rPr>
          <w:rFonts w:hint="eastAsia" w:ascii="宋体" w:hAnsi="宋体" w:eastAsia="宋体" w:cs="宋体"/>
          <w:b/>
          <w:bCs/>
          <w:color w:val="000000"/>
          <w:sz w:val="24"/>
          <w:szCs w:val="11"/>
          <w:highlight w:val="none"/>
        </w:rPr>
      </w:pPr>
      <w:bookmarkStart w:id="3" w:name="_Toc32732"/>
      <w:r>
        <w:rPr>
          <w:rFonts w:hint="eastAsia" w:ascii="宋体" w:hAnsi="宋体" w:eastAsia="宋体" w:cs="宋体"/>
          <w:b/>
          <w:bCs/>
          <w:color w:val="000000"/>
          <w:sz w:val="24"/>
          <w:szCs w:val="11"/>
          <w:highlight w:val="none"/>
          <w:lang w:eastAsia="zh-CN"/>
        </w:rPr>
        <w:t>第四部分</w:t>
      </w:r>
      <w:r>
        <w:rPr>
          <w:rFonts w:hint="eastAsia" w:ascii="宋体" w:hAnsi="宋体" w:eastAsia="宋体" w:cs="宋体"/>
          <w:b/>
          <w:bCs/>
          <w:color w:val="000000"/>
          <w:sz w:val="24"/>
          <w:szCs w:val="11"/>
          <w:highlight w:val="none"/>
          <w:lang w:val="en-US" w:eastAsia="zh-CN"/>
        </w:rPr>
        <w:t xml:space="preserve"> </w:t>
      </w:r>
      <w:r>
        <w:rPr>
          <w:rFonts w:hint="eastAsia" w:ascii="宋体" w:hAnsi="宋体" w:eastAsia="宋体" w:cs="宋体"/>
          <w:b/>
          <w:bCs/>
          <w:color w:val="000000"/>
          <w:sz w:val="24"/>
          <w:szCs w:val="11"/>
          <w:highlight w:val="none"/>
        </w:rPr>
        <w:t>评标方法与评标标准</w:t>
      </w:r>
      <w:bookmarkEnd w:id="3"/>
    </w:p>
    <w:p w14:paraId="44CE83B8">
      <w:pPr>
        <w:spacing w:line="360" w:lineRule="auto"/>
        <w:jc w:val="left"/>
        <w:rPr>
          <w:rFonts w:hint="eastAsia" w:hAnsi="宋体" w:cs="宋体"/>
          <w:bCs/>
          <w:snapToGrid w:val="0"/>
          <w:sz w:val="28"/>
          <w:szCs w:val="28"/>
        </w:rPr>
      </w:pPr>
      <w:r>
        <w:rPr>
          <w:rFonts w:hint="eastAsia" w:hAnsi="宋体" w:cs="宋体"/>
          <w:bCs/>
          <w:snapToGrid w:val="0"/>
          <w:sz w:val="28"/>
          <w:szCs w:val="28"/>
        </w:rPr>
        <w:t>一、评标方法</w:t>
      </w:r>
    </w:p>
    <w:p w14:paraId="71B50CA4">
      <w:pPr>
        <w:spacing w:line="360" w:lineRule="auto"/>
        <w:ind w:firstLine="420"/>
        <w:jc w:val="left"/>
        <w:rPr>
          <w:rFonts w:hint="eastAsia" w:hAnsi="宋体" w:cs="宋体"/>
          <w:bCs/>
        </w:rPr>
      </w:pPr>
      <w:r>
        <w:rPr>
          <w:rFonts w:hint="eastAsia" w:hAnsi="宋体" w:cs="宋体"/>
          <w:bCs/>
        </w:rPr>
        <w:t>评委会将对确定为实质性响应招标文件要求的投标文件进行评价和比较，评标</w:t>
      </w:r>
    </w:p>
    <w:p w14:paraId="1923413C">
      <w:pPr>
        <w:spacing w:line="360" w:lineRule="auto"/>
        <w:jc w:val="left"/>
        <w:rPr>
          <w:rFonts w:hint="eastAsia" w:hAnsi="宋体" w:cs="宋体"/>
          <w:bCs/>
        </w:rPr>
      </w:pPr>
      <w:r>
        <w:rPr>
          <w:rFonts w:hint="eastAsia" w:hAnsi="宋体" w:cs="宋体"/>
          <w:bCs/>
        </w:rPr>
        <w:t>采用综合评分法。</w:t>
      </w:r>
    </w:p>
    <w:p w14:paraId="682119C9">
      <w:pPr>
        <w:spacing w:line="360" w:lineRule="auto"/>
        <w:jc w:val="left"/>
      </w:pPr>
      <w:r>
        <w:rPr>
          <w:rFonts w:hint="eastAsia" w:hAnsi="宋体" w:cs="宋体"/>
          <w:bCs/>
          <w:snapToGrid w:val="0"/>
          <w:sz w:val="28"/>
          <w:szCs w:val="28"/>
        </w:rPr>
        <w:t>二、评标标准</w:t>
      </w:r>
    </w:p>
    <w:p w14:paraId="22E7D60E">
      <w:pPr>
        <w:rPr>
          <w:szCs w:val="24"/>
          <w:u w:val="single"/>
        </w:rPr>
      </w:pPr>
      <w:r>
        <w:rPr>
          <w:rFonts w:hint="eastAsia"/>
          <w:szCs w:val="24"/>
          <w:u w:val="single"/>
        </w:rPr>
        <w:t>综合评估法：具体采用打分法</w:t>
      </w:r>
    </w:p>
    <w:p w14:paraId="03BBE972">
      <w:pPr>
        <w:rPr>
          <w:szCs w:val="24"/>
        </w:rPr>
      </w:pPr>
      <w:r>
        <w:rPr>
          <w:rFonts w:hint="eastAsia"/>
          <w:szCs w:val="24"/>
        </w:rPr>
        <w:t>说明：只有初步评审合格的投标人，才能进入详细评审。初步评审办法详见招标文件。</w:t>
      </w:r>
    </w:p>
    <w:p w14:paraId="3D325BEE">
      <w:pPr>
        <w:rPr>
          <w:szCs w:val="24"/>
        </w:rPr>
      </w:pPr>
      <w:r>
        <w:rPr>
          <w:rFonts w:hint="eastAsia"/>
          <w:szCs w:val="24"/>
        </w:rPr>
        <w:t>对于初步评审合格的投标人，本次详细评审采用综合评估法，具体采用打分法，得分最高者为中标候选人，其中：</w:t>
      </w:r>
    </w:p>
    <w:p w14:paraId="40FD7EA4">
      <w:pPr>
        <w:rPr>
          <w:bCs/>
          <w:szCs w:val="24"/>
        </w:rPr>
      </w:pPr>
      <w:r>
        <w:rPr>
          <w:rFonts w:hint="eastAsia"/>
          <w:bCs/>
          <w:szCs w:val="24"/>
        </w:rPr>
        <w:t>1、报价：</w:t>
      </w:r>
      <w:r>
        <w:rPr>
          <w:rFonts w:hint="eastAsia"/>
          <w:bCs/>
          <w:szCs w:val="24"/>
          <w:lang w:val="en-US" w:eastAsia="zh-CN"/>
        </w:rPr>
        <w:t>30</w:t>
      </w:r>
      <w:r>
        <w:rPr>
          <w:rFonts w:hint="eastAsia"/>
          <w:bCs/>
          <w:szCs w:val="24"/>
        </w:rPr>
        <w:t>分</w:t>
      </w:r>
    </w:p>
    <w:p w14:paraId="1C1A6D61">
      <w:pPr>
        <w:rPr>
          <w:rFonts w:hint="eastAsia"/>
          <w:b w:val="0"/>
          <w:color w:val="auto"/>
          <w:kern w:val="2"/>
          <w:position w:val="0"/>
          <w:szCs w:val="24"/>
          <w:lang w:eastAsia="zh-CN"/>
        </w:rPr>
      </w:pPr>
      <w:r>
        <w:rPr>
          <w:rFonts w:hint="eastAsia"/>
          <w:b w:val="0"/>
          <w:color w:val="auto"/>
          <w:kern w:val="2"/>
          <w:position w:val="0"/>
          <w:szCs w:val="24"/>
          <w:lang w:val="en-US" w:eastAsia="zh-CN"/>
        </w:rPr>
        <w:t>1.1设备</w:t>
      </w:r>
      <w:r>
        <w:rPr>
          <w:rFonts w:hint="eastAsia"/>
          <w:b w:val="0"/>
          <w:color w:val="auto"/>
          <w:kern w:val="2"/>
          <w:position w:val="0"/>
          <w:szCs w:val="24"/>
        </w:rPr>
        <w:t>报价</w:t>
      </w:r>
      <w:r>
        <w:rPr>
          <w:rFonts w:hint="eastAsia"/>
          <w:b w:val="0"/>
          <w:color w:val="auto"/>
          <w:kern w:val="2"/>
          <w:position w:val="0"/>
          <w:szCs w:val="24"/>
          <w:lang w:eastAsia="zh-CN"/>
        </w:rPr>
        <w:t>（</w:t>
      </w:r>
      <w:r>
        <w:rPr>
          <w:rFonts w:hint="eastAsia"/>
          <w:b w:val="0"/>
          <w:color w:val="auto"/>
          <w:kern w:val="2"/>
          <w:position w:val="0"/>
          <w:szCs w:val="24"/>
          <w:lang w:val="en-US" w:eastAsia="zh-CN"/>
        </w:rPr>
        <w:t>30分</w:t>
      </w:r>
      <w:r>
        <w:rPr>
          <w:rFonts w:hint="eastAsia"/>
          <w:b w:val="0"/>
          <w:color w:val="auto"/>
          <w:kern w:val="2"/>
          <w:position w:val="0"/>
          <w:szCs w:val="24"/>
          <w:lang w:eastAsia="zh-CN"/>
        </w:rPr>
        <w:t>）</w:t>
      </w:r>
      <w:r>
        <w:rPr>
          <w:rFonts w:hint="eastAsia"/>
          <w:bCs/>
          <w:color w:val="auto"/>
          <w:kern w:val="2"/>
          <w:position w:val="0"/>
          <w:szCs w:val="24"/>
          <w:lang w:eastAsia="zh-CN"/>
        </w:rPr>
        <w:t>，</w:t>
      </w:r>
      <w:r>
        <w:rPr>
          <w:rFonts w:hint="eastAsia"/>
          <w:bCs/>
          <w:color w:val="auto"/>
          <w:kern w:val="2"/>
          <w:position w:val="0"/>
          <w:szCs w:val="24"/>
          <w:lang w:val="en-US" w:eastAsia="zh-CN"/>
        </w:rPr>
        <w:t>不报价者此项不得分。</w:t>
      </w:r>
    </w:p>
    <w:p w14:paraId="4CB1BB47">
      <w:pPr>
        <w:rPr>
          <w:b w:val="0"/>
          <w:color w:val="auto"/>
          <w:kern w:val="2"/>
          <w:position w:val="0"/>
          <w:szCs w:val="24"/>
        </w:rPr>
      </w:pPr>
      <w:r>
        <w:rPr>
          <w:rFonts w:hint="eastAsia"/>
          <w:b w:val="0"/>
          <w:bCs/>
          <w:color w:val="auto"/>
          <w:kern w:val="2"/>
          <w:position w:val="0"/>
          <w:szCs w:val="24"/>
        </w:rPr>
        <w:t>（</w:t>
      </w:r>
      <w:r>
        <w:rPr>
          <w:b w:val="0"/>
          <w:color w:val="auto"/>
          <w:kern w:val="2"/>
          <w:position w:val="0"/>
          <w:szCs w:val="24"/>
        </w:rPr>
        <w:t>价格分采用低价优先法计算，即满足招标文件要求且投标价格最低的投标报价为评标基准价，其他供应商的价格分按照下列公式计算：</w:t>
      </w:r>
    </w:p>
    <w:p w14:paraId="7A41174F">
      <w:pPr>
        <w:rPr>
          <w:rFonts w:hint="eastAsia"/>
          <w:b w:val="0"/>
          <w:bCs/>
          <w:color w:val="auto"/>
          <w:kern w:val="2"/>
          <w:position w:val="0"/>
          <w:szCs w:val="24"/>
        </w:rPr>
      </w:pPr>
      <w:r>
        <w:rPr>
          <w:b w:val="0"/>
          <w:color w:val="auto"/>
          <w:kern w:val="2"/>
          <w:position w:val="0"/>
          <w:szCs w:val="24"/>
        </w:rPr>
        <w:t>价格分=（评标基准价/投标报价）×</w:t>
      </w:r>
      <w:r>
        <w:rPr>
          <w:rFonts w:hint="eastAsia"/>
          <w:b w:val="0"/>
          <w:color w:val="auto"/>
          <w:kern w:val="2"/>
          <w:position w:val="0"/>
          <w:szCs w:val="24"/>
          <w:lang w:val="en-US" w:eastAsia="zh-CN"/>
        </w:rPr>
        <w:t>30</w:t>
      </w:r>
      <w:r>
        <w:rPr>
          <w:rFonts w:hint="eastAsia"/>
          <w:b w:val="0"/>
          <w:color w:val="auto"/>
          <w:kern w:val="2"/>
          <w:position w:val="0"/>
          <w:szCs w:val="24"/>
        </w:rPr>
        <w:t>（小数点保留两位）</w:t>
      </w:r>
      <w:r>
        <w:rPr>
          <w:rFonts w:hint="eastAsia"/>
          <w:b w:val="0"/>
          <w:bCs/>
          <w:color w:val="auto"/>
          <w:kern w:val="2"/>
          <w:position w:val="0"/>
          <w:szCs w:val="24"/>
        </w:rPr>
        <w:t>）</w:t>
      </w:r>
    </w:p>
    <w:p w14:paraId="3D09B383">
      <w:pPr>
        <w:rPr>
          <w:szCs w:val="24"/>
        </w:rPr>
      </w:pPr>
      <w:r>
        <w:rPr>
          <w:rFonts w:hint="eastAsia"/>
          <w:szCs w:val="24"/>
        </w:rPr>
        <w:t>2、技术、性能、配置：</w:t>
      </w:r>
      <w:r>
        <w:rPr>
          <w:rFonts w:hint="eastAsia"/>
          <w:szCs w:val="24"/>
          <w:lang w:val="en-US" w:eastAsia="zh-CN"/>
        </w:rPr>
        <w:t>4</w:t>
      </w:r>
      <w:r>
        <w:rPr>
          <w:rFonts w:hint="eastAsia"/>
          <w:szCs w:val="24"/>
        </w:rPr>
        <w:t>6分</w:t>
      </w:r>
    </w:p>
    <w:p w14:paraId="6D4A95E9">
      <w:pPr>
        <w:rPr>
          <w:rFonts w:hint="eastAsia"/>
          <w:b w:val="0"/>
          <w:color w:val="auto"/>
          <w:kern w:val="2"/>
          <w:position w:val="0"/>
          <w:szCs w:val="24"/>
        </w:rPr>
      </w:pPr>
      <w:r>
        <w:rPr>
          <w:rFonts w:hint="eastAsia"/>
          <w:b w:val="0"/>
          <w:color w:val="auto"/>
          <w:kern w:val="2"/>
          <w:position w:val="0"/>
          <w:szCs w:val="24"/>
          <w:lang w:val="en-US" w:eastAsia="zh-CN"/>
        </w:rPr>
        <w:t>磋商小组</w:t>
      </w:r>
      <w:r>
        <w:rPr>
          <w:rFonts w:hint="eastAsia"/>
          <w:b w:val="0"/>
          <w:color w:val="auto"/>
          <w:kern w:val="2"/>
          <w:position w:val="0"/>
          <w:szCs w:val="24"/>
        </w:rPr>
        <w:t>根据</w:t>
      </w:r>
      <w:r>
        <w:rPr>
          <w:rFonts w:hint="eastAsia"/>
          <w:b w:val="0"/>
          <w:color w:val="auto"/>
          <w:kern w:val="2"/>
          <w:position w:val="0"/>
          <w:szCs w:val="24"/>
          <w:lang w:eastAsia="zh-CN"/>
        </w:rPr>
        <w:t>磋商文件</w:t>
      </w:r>
      <w:r>
        <w:rPr>
          <w:rFonts w:hint="eastAsia"/>
          <w:b w:val="0"/>
          <w:color w:val="auto"/>
          <w:kern w:val="2"/>
          <w:position w:val="0"/>
          <w:szCs w:val="24"/>
        </w:rPr>
        <w:t>中《技术条款偏离表》，结合</w:t>
      </w:r>
      <w:r>
        <w:rPr>
          <w:rFonts w:hint="eastAsia"/>
          <w:b w:val="0"/>
          <w:color w:val="auto"/>
          <w:kern w:val="2"/>
          <w:position w:val="0"/>
          <w:szCs w:val="24"/>
          <w:lang w:eastAsia="zh-CN"/>
        </w:rPr>
        <w:t>响应文件</w:t>
      </w:r>
      <w:r>
        <w:rPr>
          <w:rFonts w:hint="eastAsia"/>
          <w:b w:val="0"/>
          <w:color w:val="auto"/>
          <w:kern w:val="2"/>
          <w:position w:val="0"/>
          <w:szCs w:val="24"/>
        </w:rPr>
        <w:t>提供的佐证材料等进行评审：</w:t>
      </w:r>
    </w:p>
    <w:p w14:paraId="20E29097">
      <w:pPr>
        <w:rPr>
          <w:rFonts w:hint="eastAsia"/>
          <w:szCs w:val="24"/>
        </w:rPr>
      </w:pPr>
      <w:r>
        <w:rPr>
          <w:rFonts w:hint="eastAsia"/>
          <w:b w:val="0"/>
          <w:color w:val="auto"/>
          <w:kern w:val="2"/>
          <w:position w:val="0"/>
          <w:szCs w:val="24"/>
        </w:rPr>
        <w:t>2.1、</w:t>
      </w:r>
      <w:r>
        <w:rPr>
          <w:rFonts w:hint="eastAsia"/>
          <w:szCs w:val="24"/>
        </w:rPr>
        <w:t>全部满足标书基本要求</w:t>
      </w:r>
      <w:r>
        <w:rPr>
          <w:rFonts w:hint="eastAsia"/>
          <w:szCs w:val="24"/>
          <w:lang w:val="en-US" w:eastAsia="zh-CN"/>
        </w:rPr>
        <w:t>4</w:t>
      </w:r>
      <w:r>
        <w:rPr>
          <w:rFonts w:hint="eastAsia"/>
          <w:szCs w:val="24"/>
        </w:rPr>
        <w:t>6分，正偏离不加分；</w:t>
      </w:r>
    </w:p>
    <w:p w14:paraId="56B2D143">
      <w:pPr>
        <w:rPr>
          <w:rFonts w:hint="eastAsia"/>
          <w:b w:val="0"/>
          <w:color w:val="auto"/>
          <w:kern w:val="2"/>
          <w:position w:val="0"/>
          <w:szCs w:val="24"/>
        </w:rPr>
      </w:pPr>
      <w:r>
        <w:rPr>
          <w:rFonts w:hint="eastAsia"/>
          <w:b w:val="0"/>
          <w:color w:val="auto"/>
          <w:kern w:val="2"/>
          <w:position w:val="0"/>
          <w:szCs w:val="24"/>
        </w:rPr>
        <w:t>2.2、有一项▲号指标负偏离扣3分；</w:t>
      </w:r>
      <w:r>
        <w:rPr>
          <w:rFonts w:hint="eastAsia"/>
          <w:b w:val="0"/>
          <w:color w:val="auto"/>
          <w:kern w:val="2"/>
          <w:position w:val="0"/>
          <w:szCs w:val="24"/>
          <w:lang w:val="en-US" w:eastAsia="zh-CN"/>
        </w:rPr>
        <w:t>{</w:t>
      </w:r>
      <w:r>
        <w:rPr>
          <w:rFonts w:hint="eastAsia"/>
          <w:b w:val="0"/>
          <w:color w:val="auto"/>
          <w:kern w:val="2"/>
          <w:position w:val="0"/>
          <w:szCs w:val="24"/>
        </w:rPr>
        <w:t>▲号指标须提供相关证明材料（包括医疗器械注册证</w:t>
      </w:r>
      <w:r>
        <w:rPr>
          <w:rFonts w:hint="eastAsia"/>
          <w:b w:val="0"/>
          <w:color w:val="auto"/>
          <w:kern w:val="2"/>
          <w:position w:val="0"/>
          <w:szCs w:val="24"/>
          <w:lang w:val="en-US" w:eastAsia="zh-CN"/>
        </w:rPr>
        <w:t>或</w:t>
      </w:r>
      <w:r>
        <w:rPr>
          <w:rFonts w:hint="eastAsia"/>
          <w:b w:val="0"/>
          <w:color w:val="auto"/>
          <w:kern w:val="2"/>
          <w:position w:val="0"/>
          <w:szCs w:val="24"/>
        </w:rPr>
        <w:t>加盖厂家公章的产品白皮书（原件）</w:t>
      </w:r>
      <w:r>
        <w:rPr>
          <w:rFonts w:hint="eastAsia"/>
          <w:b w:val="0"/>
          <w:color w:val="auto"/>
          <w:kern w:val="2"/>
          <w:position w:val="0"/>
          <w:szCs w:val="24"/>
          <w:lang w:val="en-US" w:eastAsia="zh-CN"/>
        </w:rPr>
        <w:t>或</w:t>
      </w:r>
      <w:r>
        <w:rPr>
          <w:rFonts w:hint="eastAsia"/>
          <w:b w:val="0"/>
          <w:color w:val="auto"/>
          <w:kern w:val="2"/>
          <w:position w:val="0"/>
          <w:szCs w:val="24"/>
        </w:rPr>
        <w:t>国家承认的第三方出具的产品检测报告</w:t>
      </w:r>
      <w:r>
        <w:rPr>
          <w:rFonts w:hint="eastAsia"/>
          <w:b w:val="0"/>
          <w:color w:val="auto"/>
          <w:kern w:val="2"/>
          <w:position w:val="0"/>
          <w:szCs w:val="24"/>
          <w:lang w:val="en-US" w:eastAsia="zh-CN"/>
        </w:rPr>
        <w:t>或</w:t>
      </w:r>
      <w:r>
        <w:rPr>
          <w:rFonts w:hint="eastAsia"/>
          <w:b w:val="0"/>
          <w:color w:val="auto"/>
          <w:kern w:val="2"/>
          <w:position w:val="0"/>
          <w:szCs w:val="24"/>
        </w:rPr>
        <w:t>厂家公开发行的宣传彩页等）并在</w:t>
      </w:r>
      <w:r>
        <w:rPr>
          <w:rFonts w:hint="eastAsia"/>
          <w:b w:val="0"/>
          <w:color w:val="auto"/>
          <w:kern w:val="2"/>
          <w:position w:val="0"/>
          <w:szCs w:val="24"/>
          <w:lang w:val="en-US" w:eastAsia="zh-CN"/>
        </w:rPr>
        <w:t>响应</w:t>
      </w:r>
      <w:r>
        <w:rPr>
          <w:rFonts w:hint="eastAsia"/>
          <w:b w:val="0"/>
          <w:color w:val="auto"/>
          <w:kern w:val="2"/>
          <w:position w:val="0"/>
          <w:szCs w:val="24"/>
          <w:lang w:eastAsia="zh-CN"/>
        </w:rPr>
        <w:t>文件《</w:t>
      </w:r>
      <w:r>
        <w:rPr>
          <w:rFonts w:hint="eastAsia"/>
          <w:b w:val="0"/>
          <w:color w:val="auto"/>
          <w:kern w:val="2"/>
          <w:position w:val="0"/>
          <w:szCs w:val="24"/>
        </w:rPr>
        <w:t>技术条款偏离表</w:t>
      </w:r>
      <w:r>
        <w:rPr>
          <w:rFonts w:hint="eastAsia"/>
          <w:b w:val="0"/>
          <w:color w:val="auto"/>
          <w:kern w:val="2"/>
          <w:position w:val="0"/>
          <w:szCs w:val="24"/>
          <w:lang w:eastAsia="zh-CN"/>
        </w:rPr>
        <w:t>》</w:t>
      </w:r>
      <w:r>
        <w:rPr>
          <w:rFonts w:hint="eastAsia"/>
          <w:b w:val="0"/>
          <w:color w:val="auto"/>
          <w:kern w:val="2"/>
          <w:position w:val="0"/>
          <w:szCs w:val="24"/>
        </w:rPr>
        <w:t>中标注相应证明文件页码，未提供证明材料的视为负偏离</w:t>
      </w:r>
      <w:r>
        <w:rPr>
          <w:rFonts w:hint="eastAsia"/>
          <w:b w:val="0"/>
          <w:color w:val="auto"/>
          <w:kern w:val="2"/>
          <w:position w:val="0"/>
          <w:szCs w:val="24"/>
          <w:lang w:val="en-US" w:eastAsia="zh-CN"/>
        </w:rPr>
        <w:t>}</w:t>
      </w:r>
    </w:p>
    <w:p w14:paraId="27D19EB3">
      <w:pPr>
        <w:rPr>
          <w:rFonts w:hint="eastAsia"/>
          <w:szCs w:val="24"/>
        </w:rPr>
      </w:pPr>
      <w:r>
        <w:rPr>
          <w:rFonts w:hint="eastAsia" w:ascii="宋体" w:hAnsi="宋体" w:eastAsia="宋体" w:cs="宋体"/>
          <w:color w:val="auto"/>
          <w:szCs w:val="21"/>
          <w:highlight w:val="none"/>
        </w:rPr>
        <w:t>2.3、非▲号指标每负偏离一项扣</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分，扣完为止。</w:t>
      </w:r>
    </w:p>
    <w:p w14:paraId="6FD7CE88">
      <w:pPr>
        <w:rPr>
          <w:szCs w:val="24"/>
        </w:rPr>
      </w:pPr>
      <w:r>
        <w:rPr>
          <w:rFonts w:hint="eastAsia"/>
          <w:szCs w:val="24"/>
        </w:rPr>
        <w:t>3、技术培训方案(5分)</w:t>
      </w:r>
    </w:p>
    <w:p w14:paraId="306128C2">
      <w:pPr>
        <w:rPr>
          <w:szCs w:val="24"/>
        </w:rPr>
      </w:pPr>
      <w:r>
        <w:rPr>
          <w:rFonts w:hint="eastAsia"/>
          <w:szCs w:val="24"/>
        </w:rPr>
        <w:t>供应商提供对用户的操作培训、业务功能培训等相关培训计划方案，除正常操作培训外，针对甲方是教学培训单位的特点，提出其他技术培训保障方案；</w:t>
      </w:r>
    </w:p>
    <w:p w14:paraId="3DE07125">
      <w:pPr>
        <w:rPr>
          <w:szCs w:val="24"/>
        </w:rPr>
      </w:pPr>
      <w:r>
        <w:rPr>
          <w:szCs w:val="24"/>
        </w:rPr>
        <w:t>3.</w:t>
      </w:r>
      <w:r>
        <w:rPr>
          <w:rFonts w:hint="eastAsia"/>
          <w:szCs w:val="24"/>
        </w:rPr>
        <w:t>1、技术培训保障方案内容详实、科学、合理，考虑周全，培训计划针对性强、内容详实，培训人员配备齐全、技术水平高、分工明确、岗位设置科学合理，培训率承诺高，得5分。</w:t>
      </w:r>
    </w:p>
    <w:p w14:paraId="1A1B5B30">
      <w:pPr>
        <w:rPr>
          <w:szCs w:val="24"/>
        </w:rPr>
      </w:pPr>
      <w:r>
        <w:rPr>
          <w:szCs w:val="24"/>
        </w:rPr>
        <w:t>3.</w:t>
      </w:r>
      <w:r>
        <w:rPr>
          <w:rFonts w:hint="eastAsia"/>
          <w:szCs w:val="24"/>
        </w:rPr>
        <w:t>2、技术培训保障方案内容详实、考虑较全，培训计划具体，培训人员齐全，培训率承诺较高，得3分。</w:t>
      </w:r>
    </w:p>
    <w:p w14:paraId="5CA1DAE7">
      <w:pPr>
        <w:rPr>
          <w:szCs w:val="24"/>
        </w:rPr>
      </w:pPr>
      <w:r>
        <w:rPr>
          <w:szCs w:val="24"/>
        </w:rPr>
        <w:t>3.</w:t>
      </w:r>
      <w:r>
        <w:rPr>
          <w:rFonts w:hint="eastAsia"/>
          <w:szCs w:val="24"/>
        </w:rPr>
        <w:t>3．技术培训保障方案表述简单，培训计划简单、培训人员较少，培训率承诺一般，得</w:t>
      </w:r>
      <w:r>
        <w:rPr>
          <w:szCs w:val="24"/>
        </w:rPr>
        <w:t>1</w:t>
      </w:r>
      <w:r>
        <w:rPr>
          <w:rFonts w:hint="eastAsia"/>
          <w:szCs w:val="24"/>
        </w:rPr>
        <w:t>分。</w:t>
      </w:r>
    </w:p>
    <w:p w14:paraId="7DFC265D">
      <w:pPr>
        <w:rPr>
          <w:szCs w:val="24"/>
        </w:rPr>
      </w:pPr>
      <w:r>
        <w:rPr>
          <w:szCs w:val="24"/>
        </w:rPr>
        <w:t>3.</w:t>
      </w:r>
      <w:r>
        <w:rPr>
          <w:rFonts w:hint="eastAsia"/>
          <w:szCs w:val="24"/>
        </w:rPr>
        <w:t>4．未提供方案或方案无可行性不得分。</w:t>
      </w:r>
    </w:p>
    <w:p w14:paraId="446E2CD2">
      <w:pPr>
        <w:rPr>
          <w:szCs w:val="24"/>
        </w:rPr>
      </w:pPr>
      <w:r>
        <w:rPr>
          <w:rFonts w:hint="eastAsia"/>
          <w:szCs w:val="24"/>
        </w:rPr>
        <w:t>4、业绩：</w:t>
      </w:r>
      <w:r>
        <w:rPr>
          <w:szCs w:val="24"/>
        </w:rPr>
        <w:t>10</w:t>
      </w:r>
      <w:r>
        <w:rPr>
          <w:rFonts w:hint="eastAsia"/>
          <w:szCs w:val="24"/>
        </w:rPr>
        <w:t>分</w:t>
      </w:r>
    </w:p>
    <w:p w14:paraId="71A7D5C7">
      <w:pPr>
        <w:rPr>
          <w:szCs w:val="24"/>
        </w:rPr>
      </w:pPr>
      <w:r>
        <w:rPr>
          <w:rFonts w:hint="eastAsia"/>
          <w:szCs w:val="24"/>
        </w:rPr>
        <w:t>提供投标产品的制造商或其代理商20</w:t>
      </w:r>
      <w:r>
        <w:rPr>
          <w:szCs w:val="24"/>
        </w:rPr>
        <w:t>2</w:t>
      </w:r>
      <w:r>
        <w:rPr>
          <w:rFonts w:hint="eastAsia"/>
          <w:szCs w:val="24"/>
          <w:lang w:val="en-US" w:eastAsia="zh-CN"/>
        </w:rPr>
        <w:t>2</w:t>
      </w:r>
      <w:r>
        <w:rPr>
          <w:rFonts w:hint="eastAsia"/>
          <w:szCs w:val="24"/>
        </w:rPr>
        <w:t>年至今同品牌同型号的业绩证明文件（销售合同复印件），每提供1份合同得</w:t>
      </w:r>
      <w:r>
        <w:rPr>
          <w:szCs w:val="24"/>
        </w:rPr>
        <w:t>2.5</w:t>
      </w:r>
      <w:r>
        <w:rPr>
          <w:rFonts w:hint="eastAsia"/>
          <w:szCs w:val="24"/>
        </w:rPr>
        <w:t>分，最多得</w:t>
      </w:r>
      <w:r>
        <w:rPr>
          <w:szCs w:val="24"/>
        </w:rPr>
        <w:t>10</w:t>
      </w:r>
      <w:r>
        <w:rPr>
          <w:rFonts w:hint="eastAsia"/>
          <w:szCs w:val="24"/>
        </w:rPr>
        <w:t>分。未提供合同或合同型号不一致、关键页不清晰者，该项不得分。</w:t>
      </w:r>
    </w:p>
    <w:p w14:paraId="1E054AE4">
      <w:pPr>
        <w:rPr>
          <w:szCs w:val="24"/>
        </w:rPr>
      </w:pPr>
      <w:r>
        <w:rPr>
          <w:rFonts w:hint="eastAsia"/>
          <w:szCs w:val="24"/>
        </w:rPr>
        <w:t>5、售后服务：9分</w:t>
      </w:r>
    </w:p>
    <w:p w14:paraId="25A32E70">
      <w:pPr>
        <w:rPr>
          <w:szCs w:val="24"/>
        </w:rPr>
      </w:pPr>
      <w:r>
        <w:rPr>
          <w:rFonts w:hint="eastAsia"/>
          <w:bCs/>
          <w:szCs w:val="24"/>
        </w:rPr>
        <w:t>5.1、售后服务实施响应 (7分)</w:t>
      </w:r>
      <w:r>
        <w:rPr>
          <w:rFonts w:hint="eastAsia"/>
          <w:szCs w:val="24"/>
        </w:rPr>
        <w:t>：</w:t>
      </w:r>
    </w:p>
    <w:p w14:paraId="04BD16A4">
      <w:pPr>
        <w:rPr>
          <w:szCs w:val="24"/>
        </w:rPr>
      </w:pPr>
      <w:r>
        <w:rPr>
          <w:rFonts w:hint="eastAsia"/>
          <w:szCs w:val="24"/>
        </w:rPr>
        <w:t>根据投标人质保期内售后服务（响应时间，回访巡检方案、故障解决措施、技术人员保障、备品配件价格等）、本地化服务方案（江苏省内各服务网点、维修网点设置情况以及技术人员安排情况）等服务内容，</w:t>
      </w:r>
    </w:p>
    <w:p w14:paraId="3AA007F7">
      <w:pPr>
        <w:rPr>
          <w:szCs w:val="24"/>
        </w:rPr>
      </w:pPr>
      <w:r>
        <w:rPr>
          <w:rFonts w:hint="eastAsia"/>
          <w:szCs w:val="24"/>
        </w:rPr>
        <w:t>1）售后方案内容详实、科学、合理，考虑周全，对产品质量管控措施要求全面到位，相关服务承诺内容详实，人员配备齐全，分工明确、岗位设置科学合理，人员配备齐全、设备配备齐全、先进者得7分；</w:t>
      </w:r>
    </w:p>
    <w:p w14:paraId="5E0AB495">
      <w:pPr>
        <w:rPr>
          <w:szCs w:val="24"/>
        </w:rPr>
      </w:pPr>
      <w:r>
        <w:rPr>
          <w:rFonts w:hint="eastAsia"/>
          <w:szCs w:val="24"/>
        </w:rPr>
        <w:t>2）售后方案内容详实、考虑较全，对产品质量管控措施要求到位，相关服务承诺内容具体，人员配备齐全、设备配备齐全者得4分；</w:t>
      </w:r>
    </w:p>
    <w:p w14:paraId="213E6EE8">
      <w:pPr>
        <w:rPr>
          <w:rFonts w:hint="eastAsia" w:eastAsia="宋体" w:cs="Times New Roman"/>
          <w:szCs w:val="24"/>
        </w:rPr>
      </w:pPr>
      <w:r>
        <w:rPr>
          <w:rFonts w:hint="eastAsia" w:eastAsia="宋体" w:cs="Times New Roman"/>
          <w:szCs w:val="24"/>
        </w:rPr>
        <w:t>3）售后方案表述简单，人员配备有所欠缺、设备配备一般者得1分；</w:t>
      </w:r>
    </w:p>
    <w:p w14:paraId="7A845240">
      <w:pPr>
        <w:rPr>
          <w:szCs w:val="24"/>
        </w:rPr>
      </w:pPr>
      <w:r>
        <w:rPr>
          <w:rFonts w:hint="eastAsia"/>
          <w:szCs w:val="24"/>
        </w:rPr>
        <w:t>4）未提供服务方案的不得分。</w:t>
      </w:r>
    </w:p>
    <w:p w14:paraId="623711F9">
      <w:pPr>
        <w:rPr>
          <w:bCs/>
          <w:szCs w:val="24"/>
        </w:rPr>
      </w:pPr>
      <w:r>
        <w:rPr>
          <w:rFonts w:hint="eastAsia"/>
          <w:bCs/>
          <w:szCs w:val="24"/>
        </w:rPr>
        <w:t>5.2、质保期（2分）：</w:t>
      </w:r>
    </w:p>
    <w:p w14:paraId="28E880A7">
      <w:pPr>
        <w:spacing w:line="240" w:lineRule="auto"/>
        <w:ind w:left="357" w:leftChars="170" w:firstLine="0" w:firstLineChars="0"/>
        <w:jc w:val="left"/>
        <w:rPr>
          <w:rFonts w:hint="eastAsia"/>
          <w:szCs w:val="24"/>
        </w:rPr>
      </w:pPr>
      <w:r>
        <w:rPr>
          <w:rFonts w:hint="eastAsia"/>
          <w:szCs w:val="24"/>
        </w:rPr>
        <w:t>5.2.1投标人提供的售后服务承诺书需响应招标文件要求</w:t>
      </w:r>
      <w:r>
        <w:rPr>
          <w:rFonts w:hint="eastAsia"/>
          <w:szCs w:val="24"/>
          <w:lang w:val="en-US" w:eastAsia="zh-CN"/>
        </w:rPr>
        <w:t>的</w:t>
      </w:r>
      <w:r>
        <w:rPr>
          <w:rFonts w:hint="eastAsia"/>
          <w:szCs w:val="24"/>
        </w:rPr>
        <w:t>免费质保</w:t>
      </w:r>
      <w:r>
        <w:rPr>
          <w:rFonts w:hint="eastAsia"/>
          <w:szCs w:val="24"/>
          <w:lang w:val="en-US" w:eastAsia="zh-CN"/>
        </w:rPr>
        <w:t>期，满足</w:t>
      </w:r>
      <w:r>
        <w:rPr>
          <w:rFonts w:hint="eastAsia"/>
          <w:szCs w:val="24"/>
        </w:rPr>
        <w:t>不得分，免费质保</w:t>
      </w:r>
      <w:r>
        <w:rPr>
          <w:rFonts w:hint="eastAsia"/>
          <w:szCs w:val="24"/>
          <w:lang w:val="en-US" w:eastAsia="zh-CN"/>
        </w:rPr>
        <w:t>期</w:t>
      </w:r>
      <w:r>
        <w:rPr>
          <w:rFonts w:hint="eastAsia"/>
          <w:szCs w:val="24"/>
        </w:rPr>
        <w:t>基础上每增加一年加</w:t>
      </w:r>
    </w:p>
    <w:p w14:paraId="6CD1B53D">
      <w:pPr>
        <w:spacing w:line="240" w:lineRule="auto"/>
        <w:jc w:val="left"/>
        <w:rPr>
          <w:rFonts w:hint="eastAsia"/>
          <w:b/>
          <w:sz w:val="32"/>
          <w:szCs w:val="32"/>
          <w:lang w:val="en-US" w:eastAsia="zh-CN"/>
        </w:rPr>
      </w:pPr>
      <w:r>
        <w:rPr>
          <w:rFonts w:hint="eastAsia"/>
          <w:szCs w:val="24"/>
        </w:rPr>
        <w:t>1分，最多得</w:t>
      </w:r>
      <w:r>
        <w:rPr>
          <w:rFonts w:hint="eastAsia"/>
          <w:szCs w:val="24"/>
          <w:lang w:val="en-US" w:eastAsia="zh-CN"/>
        </w:rPr>
        <w:t>2</w:t>
      </w:r>
      <w:r>
        <w:rPr>
          <w:rFonts w:hint="eastAsia"/>
          <w:szCs w:val="24"/>
        </w:rPr>
        <w:t>分。</w:t>
      </w:r>
    </w:p>
    <w:p w14:paraId="46152D79">
      <w:pPr>
        <w:spacing w:line="240" w:lineRule="auto"/>
        <w:ind w:left="357" w:leftChars="170" w:firstLine="0" w:firstLineChars="0"/>
        <w:jc w:val="left"/>
        <w:rPr>
          <w:rFonts w:hint="eastAsia" w:hAnsi="宋体" w:cs="宋体"/>
          <w:bCs/>
          <w:color w:val="000000"/>
          <w:w w:val="90"/>
          <w:sz w:val="18"/>
          <w:szCs w:val="16"/>
          <w:highlight w:val="none"/>
        </w:rPr>
      </w:pPr>
      <w:r>
        <w:rPr>
          <w:rFonts w:hint="eastAsia" w:hAnsi="宋体" w:cs="宋体"/>
          <w:bCs/>
          <w:color w:val="000000"/>
          <w:w w:val="90"/>
          <w:sz w:val="18"/>
          <w:szCs w:val="16"/>
          <w:highlight w:val="none"/>
          <w:lang w:eastAsia="zh-CN"/>
        </w:rPr>
        <w:t>说明：</w:t>
      </w:r>
      <w:r>
        <w:rPr>
          <w:rFonts w:hint="eastAsia" w:hAnsi="宋体" w:cs="宋体"/>
          <w:bCs/>
          <w:color w:val="000000"/>
          <w:w w:val="90"/>
          <w:sz w:val="18"/>
          <w:szCs w:val="16"/>
          <w:highlight w:val="none"/>
          <w:lang w:eastAsia="zh-CN"/>
        </w:rPr>
        <w:br w:type="textWrapping"/>
      </w:r>
      <w:r>
        <w:rPr>
          <w:rFonts w:hint="eastAsia" w:hAnsi="宋体" w:cs="宋体"/>
          <w:bCs/>
          <w:color w:val="000000"/>
          <w:w w:val="90"/>
          <w:sz w:val="18"/>
          <w:szCs w:val="16"/>
          <w:highlight w:val="none"/>
        </w:rPr>
        <w:t>1、促进中小企业发展政策</w:t>
      </w:r>
    </w:p>
    <w:p w14:paraId="357E5911">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color w:val="000000"/>
          <w:w w:val="90"/>
          <w:sz w:val="18"/>
          <w:szCs w:val="20"/>
          <w:highlight w:val="none"/>
        </w:rPr>
        <w:t>①本项目为非专门面向中小</w:t>
      </w:r>
      <w:r>
        <w:rPr>
          <w:rFonts w:hint="eastAsia" w:hAnsi="宋体" w:cs="宋体"/>
          <w:bCs/>
          <w:color w:val="000000"/>
          <w:w w:val="90"/>
          <w:sz w:val="18"/>
          <w:szCs w:val="16"/>
          <w:highlight w:val="none"/>
        </w:rPr>
        <w:t>微企业的项目，对</w:t>
      </w:r>
      <w:r>
        <w:rPr>
          <w:rFonts w:hint="eastAsia" w:hAnsi="宋体" w:cs="宋体"/>
          <w:color w:val="000000"/>
          <w:w w:val="90"/>
          <w:sz w:val="18"/>
          <w:szCs w:val="16"/>
          <w:highlight w:val="none"/>
        </w:rPr>
        <w:t>小型和微型企业</w:t>
      </w:r>
      <w:r>
        <w:rPr>
          <w:rFonts w:hint="eastAsia" w:hAnsi="宋体" w:cs="宋体"/>
          <w:bCs/>
          <w:color w:val="000000"/>
          <w:w w:val="90"/>
          <w:sz w:val="18"/>
          <w:szCs w:val="16"/>
          <w:highlight w:val="none"/>
        </w:rPr>
        <w:t>产品价格给予10%的扣除，用扣除后的价格参与评审(</w:t>
      </w:r>
      <w:r>
        <w:rPr>
          <w:rFonts w:hint="eastAsia" w:hAnsi="宋体" w:cs="宋体"/>
          <w:b/>
          <w:bCs w:val="0"/>
          <w:color w:val="000000"/>
          <w:w w:val="90"/>
          <w:sz w:val="18"/>
          <w:szCs w:val="16"/>
          <w:highlight w:val="none"/>
        </w:rPr>
        <w:t>按招标文件格式提供中小企业声明函</w:t>
      </w:r>
      <w:r>
        <w:rPr>
          <w:rFonts w:hint="eastAsia" w:hAnsi="宋体" w:cs="宋体"/>
          <w:bCs/>
          <w:color w:val="000000"/>
          <w:w w:val="90"/>
          <w:sz w:val="18"/>
          <w:szCs w:val="16"/>
          <w:highlight w:val="none"/>
        </w:rPr>
        <w:t>。企业标准请参照《关于印发中小企业划型标准规定的通知》（工信部联企业【2011】300号），联合体投标时，如果满足要求，需要分别提供,否则不考虑价格扣除）。</w:t>
      </w:r>
    </w:p>
    <w:p w14:paraId="4B2BC069">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在政府采购活动中，投标人提供的货物、工程或者服务符合下列情形的，享受价格扣除：</w:t>
      </w:r>
    </w:p>
    <w:p w14:paraId="688150D0">
      <w:pPr>
        <w:numPr>
          <w:ilvl w:val="0"/>
          <w:numId w:val="2"/>
        </w:numPr>
        <w:tabs>
          <w:tab w:val="left" w:pos="8200"/>
        </w:tabs>
        <w:spacing w:line="240" w:lineRule="auto"/>
        <w:ind w:firstLine="325" w:firstLineChars="200"/>
        <w:rPr>
          <w:rFonts w:hint="eastAsia" w:hAnsi="宋体" w:cs="宋体"/>
          <w:bCs/>
          <w:color w:val="000000"/>
          <w:w w:val="90"/>
          <w:sz w:val="18"/>
          <w:szCs w:val="20"/>
          <w:highlight w:val="none"/>
        </w:rPr>
      </w:pPr>
      <w:r>
        <w:rPr>
          <w:rFonts w:hint="eastAsia" w:hAnsi="宋体" w:cs="宋体"/>
          <w:b/>
          <w:bCs w:val="0"/>
          <w:color w:val="000000"/>
          <w:w w:val="90"/>
          <w:sz w:val="18"/>
          <w:szCs w:val="20"/>
          <w:highlight w:val="none"/>
        </w:rPr>
        <w:t>在货物采购项目中，货物由小微企业制造，即货物由小微企业生产且使用该小微企业商号或者注册商标；</w:t>
      </w:r>
    </w:p>
    <w:p w14:paraId="44061F24">
      <w:pPr>
        <w:numPr>
          <w:ilvl w:val="0"/>
          <w:numId w:val="2"/>
        </w:num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在服务采购项目中，服务由小微企业承接，即提供服务的人员为小微企业依照《中华人民共和国劳动合同法》订立劳动合同的从业人员。</w:t>
      </w:r>
    </w:p>
    <w:p w14:paraId="39E59147">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20"/>
          <w:highlight w:val="none"/>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Ansi="宋体" w:cs="宋体"/>
          <w:bCs/>
          <w:color w:val="000000"/>
          <w:w w:val="90"/>
          <w:sz w:val="18"/>
          <w:szCs w:val="20"/>
          <w:highlight w:val="none"/>
        </w:rPr>
        <w:t>4</w:t>
      </w:r>
      <w:r>
        <w:rPr>
          <w:rFonts w:hint="eastAsia" w:hAnsi="宋体" w:cs="宋体"/>
          <w:bCs/>
          <w:color w:val="000000"/>
          <w:w w:val="90"/>
          <w:sz w:val="18"/>
          <w:szCs w:val="20"/>
          <w:highlight w:val="none"/>
        </w:rPr>
        <w:t>%的扣除，用扣除后的价格参加评审。组成联合体或者接受分包的小微企业与联合体内其他企业、分包企业之间存在直接控股、管理关系的，不享受价格扣除优惠政策。</w:t>
      </w:r>
    </w:p>
    <w:p w14:paraId="37032B88">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FA9D8FA">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1F596C3">
      <w:pPr>
        <w:tabs>
          <w:tab w:val="left" w:pos="8200"/>
        </w:tabs>
        <w:spacing w:line="240" w:lineRule="auto"/>
        <w:ind w:firstLine="324" w:firstLineChars="200"/>
        <w:rPr>
          <w:bCs/>
          <w:color w:val="000000"/>
          <w:w w:val="90"/>
          <w:sz w:val="18"/>
          <w:szCs w:val="16"/>
          <w:highlight w:val="none"/>
        </w:rPr>
      </w:pPr>
      <w:r>
        <w:rPr>
          <w:rFonts w:hint="eastAsia" w:hAnsi="宋体" w:cs="宋体"/>
          <w:bCs/>
          <w:color w:val="000000"/>
          <w:w w:val="90"/>
          <w:sz w:val="18"/>
          <w:szCs w:val="16"/>
          <w:highlight w:val="none"/>
        </w:rPr>
        <w:t>④</w:t>
      </w:r>
      <w:r>
        <w:rPr>
          <w:rFonts w:hint="eastAsia" w:hAnsi="宋体"/>
          <w:bCs/>
          <w:color w:val="000000"/>
          <w:w w:val="90"/>
          <w:sz w:val="18"/>
          <w:szCs w:val="16"/>
          <w:highlight w:val="none"/>
        </w:rPr>
        <w:t>残疾人福利单位、监狱企业属于小型、微型企业的，不重复享受政策。</w:t>
      </w:r>
    </w:p>
    <w:p w14:paraId="45A56333">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2、根据财政部、国家发改委《节能产品政府采购实施意见》，投标产品属于《节能产品政府采购清单》（最新一期）内的政府采购的节能产品，对相应产品的价格给予1%的扣除，用扣除后的价格参与评审。</w:t>
      </w:r>
    </w:p>
    <w:p w14:paraId="74DB6362">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1F809EDD">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投标产品如为节能产品的，投标人需提供产品及型号所在清单页的复印件并用标识标明，如未提供，评委会</w:t>
      </w:r>
      <w:r>
        <w:rPr>
          <w:rFonts w:hint="eastAsia" w:hAnsi="宋体" w:cs="宋体"/>
          <w:color w:val="000000"/>
          <w:w w:val="90"/>
          <w:sz w:val="18"/>
          <w:szCs w:val="16"/>
          <w:highlight w:val="none"/>
        </w:rPr>
        <w:t>将仅按</w:t>
      </w:r>
      <w:r>
        <w:rPr>
          <w:rFonts w:hint="eastAsia" w:hAnsi="宋体" w:cs="宋体"/>
          <w:bCs/>
          <w:color w:val="000000"/>
          <w:w w:val="90"/>
          <w:sz w:val="18"/>
          <w:szCs w:val="16"/>
          <w:highlight w:val="none"/>
        </w:rPr>
        <w:t>可明确进行价格扣除的内容进行扣除。</w:t>
      </w:r>
    </w:p>
    <w:p w14:paraId="245B4C4B">
      <w:pPr>
        <w:tabs>
          <w:tab w:val="left" w:pos="8200"/>
        </w:tabs>
        <w:spacing w:line="240" w:lineRule="auto"/>
        <w:ind w:firstLine="324" w:firstLineChars="200"/>
        <w:rPr>
          <w:rFonts w:hint="eastAsia" w:hAnsi="宋体" w:cs="宋体"/>
          <w:bCs/>
          <w:color w:val="000000"/>
          <w:w w:val="90"/>
          <w:sz w:val="18"/>
          <w:szCs w:val="16"/>
          <w:highlight w:val="none"/>
        </w:rPr>
      </w:pPr>
      <w:r>
        <w:rPr>
          <w:rFonts w:hint="eastAsia" w:hAnsi="宋体" w:cs="宋体"/>
          <w:bCs/>
          <w:color w:val="000000"/>
          <w:w w:val="90"/>
          <w:sz w:val="18"/>
          <w:szCs w:val="16"/>
          <w:highlight w:val="none"/>
        </w:rPr>
        <w:t>3、根据财政部、国家环保总局《关于环境标志产品政府采购实施的意见》，投标产品属于《环境标志产品政府采购清单》（最新一期）内的产品），对相应产品的价格给予1%的扣除，用扣除后的价格参与评审。</w:t>
      </w:r>
    </w:p>
    <w:p w14:paraId="5D8AA213">
      <w:pPr>
        <w:tabs>
          <w:tab w:val="left" w:pos="8200"/>
        </w:tabs>
        <w:spacing w:line="240" w:lineRule="auto"/>
        <w:ind w:firstLine="324" w:firstLineChars="200"/>
        <w:rPr>
          <w:rFonts w:hint="eastAsia" w:hAnsi="宋体" w:cs="宋体"/>
          <w:bCs/>
          <w:color w:val="000000"/>
          <w:w w:val="90"/>
          <w:sz w:val="18"/>
          <w:szCs w:val="20"/>
          <w:highlight w:val="none"/>
        </w:rPr>
      </w:pPr>
      <w:r>
        <w:rPr>
          <w:rFonts w:hint="eastAsia" w:hAnsi="宋体" w:cs="宋体"/>
          <w:bCs/>
          <w:color w:val="000000"/>
          <w:w w:val="90"/>
          <w:sz w:val="18"/>
          <w:szCs w:val="16"/>
          <w:highlight w:val="none"/>
        </w:rPr>
        <w:t>评标委员会根据投标人填制的《环境标志产品报价表》（格式自拟），计算其所投</w:t>
      </w:r>
      <w:r>
        <w:rPr>
          <w:rFonts w:hint="eastAsia" w:hAnsi="宋体" w:cs="宋体"/>
          <w:bCs/>
          <w:color w:val="000000"/>
          <w:w w:val="90"/>
          <w:sz w:val="18"/>
          <w:szCs w:val="20"/>
          <w:highlight w:val="none"/>
        </w:rPr>
        <w:t>环境标志产品享受价格折扣部分的多少</w:t>
      </w:r>
      <w:r>
        <w:rPr>
          <w:rFonts w:hint="eastAsia" w:hAnsi="宋体" w:cs="宋体"/>
          <w:bCs/>
          <w:color w:val="000000"/>
          <w:w w:val="90"/>
          <w:sz w:val="18"/>
          <w:szCs w:val="16"/>
          <w:highlight w:val="none"/>
        </w:rPr>
        <w:t>，如未提供或价格数据不全（必须包括产品名称、单价数量明细和汇总报价），评委会</w:t>
      </w:r>
      <w:r>
        <w:rPr>
          <w:rFonts w:hint="eastAsia" w:hAnsi="宋体" w:cs="宋体"/>
          <w:color w:val="000000"/>
          <w:w w:val="90"/>
          <w:sz w:val="18"/>
          <w:szCs w:val="16"/>
          <w:highlight w:val="none"/>
        </w:rPr>
        <w:t>将仅</w:t>
      </w:r>
      <w:r>
        <w:rPr>
          <w:rFonts w:hint="eastAsia" w:hAnsi="宋体" w:cs="宋体"/>
          <w:bCs/>
          <w:color w:val="000000"/>
          <w:w w:val="90"/>
          <w:sz w:val="18"/>
          <w:szCs w:val="16"/>
          <w:highlight w:val="none"/>
        </w:rPr>
        <w:t>按可明确进行价格扣除的内容进行扣除</w:t>
      </w:r>
      <w:r>
        <w:rPr>
          <w:rFonts w:hint="eastAsia" w:hAnsi="宋体" w:cs="宋体"/>
          <w:bCs/>
          <w:color w:val="000000"/>
          <w:w w:val="90"/>
          <w:sz w:val="18"/>
          <w:szCs w:val="20"/>
          <w:highlight w:val="none"/>
        </w:rPr>
        <w:t>。</w:t>
      </w:r>
    </w:p>
    <w:p w14:paraId="02E63B9D">
      <w:pPr>
        <w:spacing w:line="240" w:lineRule="auto"/>
        <w:rPr>
          <w:rFonts w:hint="eastAsia" w:hAnsi="宋体" w:cs="宋体"/>
          <w:bCs/>
          <w:color w:val="000000"/>
          <w:w w:val="90"/>
          <w:sz w:val="18"/>
          <w:szCs w:val="16"/>
          <w:highlight w:val="none"/>
        </w:rPr>
      </w:pPr>
      <w:r>
        <w:rPr>
          <w:rFonts w:hint="eastAsia" w:hAnsi="宋体" w:cs="宋体"/>
          <w:bCs/>
          <w:color w:val="000000"/>
          <w:w w:val="90"/>
          <w:sz w:val="18"/>
          <w:szCs w:val="16"/>
          <w:highlight w:val="none"/>
        </w:rPr>
        <w:t>投标产品如为环境标志产品的，投标人需提供产品及型号所在清单页的复印件并用标识标明，如未提供，评委会将仅按可明确进行价格扣除的内容进行扣除。</w:t>
      </w:r>
      <w:bookmarkEnd w:id="0"/>
      <w:bookmarkEnd w:id="1"/>
      <w:bookmarkEnd w:id="2"/>
    </w:p>
    <w:p w14:paraId="7725C656">
      <w:pPr>
        <w:spacing w:line="240" w:lineRule="auto"/>
        <w:rPr>
          <w:rFonts w:hint="eastAsia" w:hAnsi="宋体" w:cs="宋体"/>
          <w:bCs/>
          <w:color w:val="000000"/>
          <w:w w:val="90"/>
          <w:sz w:val="18"/>
          <w:szCs w:val="16"/>
          <w:highlight w:val="none"/>
        </w:rPr>
      </w:pPr>
    </w:p>
    <w:p w14:paraId="76FE4DB3">
      <w:pPr>
        <w:spacing w:line="240" w:lineRule="auto"/>
        <w:rPr>
          <w:rFonts w:hint="eastAsia" w:hAnsi="宋体" w:cs="宋体"/>
          <w:bCs/>
          <w:color w:val="000000"/>
          <w:w w:val="90"/>
          <w:sz w:val="18"/>
          <w:szCs w:val="16"/>
          <w:highlight w:val="none"/>
        </w:rPr>
      </w:pPr>
    </w:p>
    <w:p w14:paraId="0E292A10">
      <w:pPr>
        <w:numPr>
          <w:ilvl w:val="0"/>
          <w:numId w:val="7"/>
        </w:numPr>
        <w:spacing w:line="240" w:lineRule="auto"/>
        <w:jc w:val="left"/>
        <w:rPr>
          <w:b/>
          <w:bCs/>
          <w:color w:val="000000"/>
          <w:sz w:val="24"/>
          <w:szCs w:val="24"/>
          <w:highlight w:val="none"/>
        </w:rPr>
      </w:pPr>
      <w:r>
        <w:rPr>
          <w:rFonts w:hint="eastAsia"/>
          <w:b/>
          <w:bCs/>
          <w:color w:val="000000"/>
          <w:sz w:val="24"/>
          <w:szCs w:val="24"/>
          <w:highlight w:val="none"/>
        </w:rPr>
        <w:t>拟签订的合同文本（供参考）</w:t>
      </w:r>
    </w:p>
    <w:p w14:paraId="49BDA9A1">
      <w:pPr>
        <w:spacing w:line="240" w:lineRule="auto"/>
        <w:rPr>
          <w:rFonts w:hint="eastAsia" w:hAnsi="宋体" w:cs="宋体"/>
          <w:bCs/>
          <w:color w:val="000000"/>
          <w:w w:val="90"/>
          <w:sz w:val="18"/>
          <w:szCs w:val="16"/>
          <w:highlight w:val="none"/>
        </w:rPr>
      </w:pPr>
    </w:p>
    <w:tbl>
      <w:tblPr>
        <w:tblStyle w:val="8"/>
        <w:tblpPr w:leftFromText="180" w:rightFromText="180" w:vertAnchor="text" w:horzAnchor="page" w:tblpXSpec="center" w:tblpY="-22"/>
        <w:tblOverlap w:val="never"/>
        <w:tblW w:w="0" w:type="auto"/>
        <w:jc w:val="center"/>
        <w:tblLayout w:type="fixed"/>
        <w:tblCellMar>
          <w:top w:w="0" w:type="dxa"/>
          <w:left w:w="108" w:type="dxa"/>
          <w:bottom w:w="0" w:type="dxa"/>
          <w:right w:w="108" w:type="dxa"/>
        </w:tblCellMar>
      </w:tblPr>
      <w:tblGrid>
        <w:gridCol w:w="2824"/>
        <w:gridCol w:w="2035"/>
      </w:tblGrid>
      <w:tr w14:paraId="2249E865">
        <w:tblPrEx>
          <w:tblCellMar>
            <w:top w:w="0" w:type="dxa"/>
            <w:left w:w="108" w:type="dxa"/>
            <w:bottom w:w="0" w:type="dxa"/>
            <w:right w:w="108" w:type="dxa"/>
          </w:tblCellMar>
        </w:tblPrEx>
        <w:trPr>
          <w:trHeight w:val="357" w:hRule="atLeast"/>
          <w:jc w:val="center"/>
        </w:trPr>
        <w:tc>
          <w:tcPr>
            <w:tcW w:w="2824" w:type="dxa"/>
            <w:tcBorders>
              <w:bottom w:val="single" w:color="000000" w:sz="4" w:space="0"/>
            </w:tcBorders>
            <w:noWrap/>
            <w:vAlign w:val="bottom"/>
          </w:tcPr>
          <w:p w14:paraId="46BB15DC">
            <w:pPr>
              <w:jc w:val="distribute"/>
              <w:rPr>
                <w:rFonts w:hint="eastAsia" w:ascii="仿宋" w:hAnsi="仿宋" w:eastAsia="仿宋" w:cs="仿宋"/>
                <w:b/>
                <w:sz w:val="18"/>
                <w:szCs w:val="18"/>
              </w:rPr>
            </w:pPr>
          </w:p>
          <w:p w14:paraId="5D2E6C39">
            <w:pPr>
              <w:jc w:val="distribute"/>
              <w:rPr>
                <w:rFonts w:hint="eastAsia" w:ascii="仿宋" w:hAnsi="仿宋" w:eastAsia="仿宋" w:cs="仿宋"/>
                <w:b/>
                <w:sz w:val="18"/>
                <w:szCs w:val="18"/>
              </w:rPr>
            </w:pPr>
            <w:r>
              <w:rPr>
                <w:rFonts w:hint="eastAsia" w:ascii="仿宋" w:hAnsi="仿宋" w:eastAsia="仿宋" w:cs="仿宋"/>
                <w:b/>
                <w:sz w:val="18"/>
                <w:szCs w:val="18"/>
              </w:rPr>
              <w:t>南京市溧水区人民医院</w:t>
            </w:r>
          </w:p>
        </w:tc>
        <w:tc>
          <w:tcPr>
            <w:tcW w:w="2035" w:type="dxa"/>
            <w:vMerge w:val="restart"/>
            <w:noWrap/>
          </w:tcPr>
          <w:p w14:paraId="07489E33">
            <w:pPr>
              <w:rPr>
                <w:rFonts w:hint="eastAsia" w:ascii="仿宋" w:hAnsi="仿宋" w:eastAsia="仿宋" w:cs="仿宋"/>
                <w:b/>
                <w:w w:val="80"/>
                <w:sz w:val="18"/>
                <w:szCs w:val="18"/>
              </w:rPr>
            </w:pPr>
          </w:p>
          <w:p w14:paraId="58FAA2F1">
            <w:pPr>
              <w:rPr>
                <w:rFonts w:hint="eastAsia" w:ascii="仿宋" w:hAnsi="仿宋" w:eastAsia="仿宋" w:cs="仿宋"/>
                <w:b/>
                <w:sz w:val="18"/>
                <w:szCs w:val="18"/>
              </w:rPr>
            </w:pPr>
            <w:r>
              <w:rPr>
                <w:rFonts w:hint="eastAsia" w:ascii="仿宋" w:hAnsi="仿宋" w:eastAsia="仿宋" w:cs="仿宋"/>
                <w:b/>
                <w:w w:val="80"/>
                <w:sz w:val="18"/>
                <w:szCs w:val="18"/>
              </w:rPr>
              <w:t>采购合同（设备合同）</w:t>
            </w:r>
          </w:p>
        </w:tc>
      </w:tr>
      <w:tr w14:paraId="6724A0CD">
        <w:tblPrEx>
          <w:tblCellMar>
            <w:top w:w="0" w:type="dxa"/>
            <w:left w:w="108" w:type="dxa"/>
            <w:bottom w:w="0" w:type="dxa"/>
            <w:right w:w="108" w:type="dxa"/>
          </w:tblCellMar>
        </w:tblPrEx>
        <w:trPr>
          <w:trHeight w:val="90" w:hRule="atLeast"/>
          <w:jc w:val="center"/>
        </w:trPr>
        <w:tc>
          <w:tcPr>
            <w:tcW w:w="2824" w:type="dxa"/>
            <w:tcBorders>
              <w:top w:val="single" w:color="000000" w:sz="4" w:space="0"/>
            </w:tcBorders>
            <w:noWrap/>
          </w:tcPr>
          <w:p w14:paraId="0865334D">
            <w:pPr>
              <w:jc w:val="distribute"/>
              <w:rPr>
                <w:rFonts w:hint="eastAsia" w:ascii="仿宋" w:hAnsi="仿宋" w:eastAsia="仿宋" w:cs="仿宋"/>
                <w:b/>
                <w:sz w:val="18"/>
                <w:szCs w:val="18"/>
              </w:rPr>
            </w:pPr>
            <w:r>
              <w:rPr>
                <w:rFonts w:hint="eastAsia" w:ascii="仿宋" w:hAnsi="仿宋" w:eastAsia="仿宋" w:cs="仿宋"/>
                <w:b/>
                <w:sz w:val="18"/>
                <w:szCs w:val="18"/>
              </w:rPr>
              <w:t>东南大学附属中大医院溧水分院</w:t>
            </w:r>
          </w:p>
        </w:tc>
        <w:tc>
          <w:tcPr>
            <w:tcW w:w="2035" w:type="dxa"/>
            <w:vMerge w:val="continue"/>
            <w:noWrap/>
          </w:tcPr>
          <w:p w14:paraId="2D6DC4D3">
            <w:pPr>
              <w:jc w:val="center"/>
              <w:rPr>
                <w:rFonts w:hint="eastAsia" w:ascii="仿宋" w:hAnsi="仿宋" w:eastAsia="仿宋" w:cs="仿宋"/>
                <w:b/>
                <w:sz w:val="18"/>
                <w:szCs w:val="18"/>
              </w:rPr>
            </w:pPr>
          </w:p>
        </w:tc>
      </w:tr>
    </w:tbl>
    <w:p w14:paraId="0339C3A0">
      <w:pPr>
        <w:rPr>
          <w:rFonts w:hint="eastAsia" w:ascii="宋体" w:hAnsi="宋体"/>
          <w:b/>
          <w:bCs/>
          <w:sz w:val="32"/>
          <w:szCs w:val="32"/>
        </w:rPr>
      </w:pPr>
    </w:p>
    <w:p w14:paraId="5A127ADC">
      <w:pPr>
        <w:rPr>
          <w:rFonts w:hint="eastAsia" w:ascii="仿宋" w:hAnsi="仿宋" w:eastAsia="仿宋" w:cs="仿宋"/>
          <w:b/>
          <w:bCs/>
          <w:vanish/>
          <w:sz w:val="18"/>
          <w:szCs w:val="18"/>
        </w:rPr>
      </w:pPr>
    </w:p>
    <w:tbl>
      <w:tblPr>
        <w:tblStyle w:val="8"/>
        <w:tblpPr w:leftFromText="180" w:rightFromText="180" w:vertAnchor="text" w:horzAnchor="page" w:tblpX="1554" w:tblpY="94"/>
        <w:tblOverlap w:val="never"/>
        <w:tblW w:w="10063" w:type="dxa"/>
        <w:tblInd w:w="0" w:type="dxa"/>
        <w:tblLayout w:type="fixed"/>
        <w:tblCellMar>
          <w:top w:w="0" w:type="dxa"/>
          <w:left w:w="108" w:type="dxa"/>
          <w:bottom w:w="0" w:type="dxa"/>
          <w:right w:w="108" w:type="dxa"/>
        </w:tblCellMar>
      </w:tblPr>
      <w:tblGrid>
        <w:gridCol w:w="3983"/>
        <w:gridCol w:w="6080"/>
      </w:tblGrid>
      <w:tr w14:paraId="69C1E08B">
        <w:tblPrEx>
          <w:tblCellMar>
            <w:top w:w="0" w:type="dxa"/>
            <w:left w:w="108" w:type="dxa"/>
            <w:bottom w:w="0" w:type="dxa"/>
            <w:right w:w="108" w:type="dxa"/>
          </w:tblCellMar>
        </w:tblPrEx>
        <w:tc>
          <w:tcPr>
            <w:tcW w:w="3983" w:type="dxa"/>
            <w:tcBorders>
              <w:top w:val="nil"/>
              <w:left w:val="nil"/>
              <w:bottom w:val="nil"/>
              <w:right w:val="nil"/>
            </w:tcBorders>
            <w:noWrap/>
          </w:tcPr>
          <w:p w14:paraId="12002A6F">
            <w:pPr>
              <w:rPr>
                <w:rFonts w:hint="eastAsia" w:ascii="宋体" w:hAnsi="宋体" w:cs="宋体"/>
                <w:sz w:val="18"/>
                <w:szCs w:val="18"/>
              </w:rPr>
            </w:pPr>
            <w:r>
              <w:rPr>
                <w:rFonts w:hint="eastAsia" w:ascii="宋体" w:hAnsi="宋体" w:cs="宋体"/>
                <w:sz w:val="18"/>
                <w:szCs w:val="18"/>
              </w:rPr>
              <w:t>甲  方：南京市溧水区人民医院</w:t>
            </w:r>
          </w:p>
        </w:tc>
        <w:tc>
          <w:tcPr>
            <w:tcW w:w="6080" w:type="dxa"/>
            <w:tcBorders>
              <w:top w:val="nil"/>
              <w:left w:val="nil"/>
              <w:bottom w:val="nil"/>
              <w:right w:val="nil"/>
            </w:tcBorders>
            <w:noWrap/>
          </w:tcPr>
          <w:p w14:paraId="2B68AD02">
            <w:pPr>
              <w:ind w:firstLine="360" w:firstLineChars="200"/>
            </w:pPr>
            <w:r>
              <w:rPr>
                <w:rFonts w:hint="eastAsia" w:ascii="宋体" w:hAnsi="宋体" w:cs="宋体"/>
                <w:sz w:val="18"/>
                <w:szCs w:val="18"/>
              </w:rPr>
              <w:t>乙  方：</w:t>
            </w:r>
          </w:p>
        </w:tc>
      </w:tr>
      <w:tr w14:paraId="11B9CD7D">
        <w:tblPrEx>
          <w:tblCellMar>
            <w:top w:w="0" w:type="dxa"/>
            <w:left w:w="108" w:type="dxa"/>
            <w:bottom w:w="0" w:type="dxa"/>
            <w:right w:w="108" w:type="dxa"/>
          </w:tblCellMar>
        </w:tblPrEx>
        <w:tc>
          <w:tcPr>
            <w:tcW w:w="3983" w:type="dxa"/>
            <w:tcBorders>
              <w:top w:val="nil"/>
              <w:left w:val="nil"/>
              <w:bottom w:val="nil"/>
              <w:right w:val="nil"/>
            </w:tcBorders>
            <w:noWrap/>
          </w:tcPr>
          <w:p w14:paraId="4DD024E3">
            <w:pPr>
              <w:rPr>
                <w:rFonts w:hint="eastAsia" w:ascii="宋体" w:hAnsi="宋体" w:cs="宋体"/>
                <w:sz w:val="18"/>
                <w:szCs w:val="18"/>
              </w:rPr>
            </w:pPr>
            <w:r>
              <w:rPr>
                <w:rFonts w:hint="eastAsia" w:ascii="宋体" w:hAnsi="宋体" w:cs="宋体"/>
                <w:sz w:val="18"/>
                <w:szCs w:val="18"/>
              </w:rPr>
              <w:t xml:space="preserve">住所地：南京市溧水区永阳镇崇文路86号         </w:t>
            </w:r>
          </w:p>
        </w:tc>
        <w:tc>
          <w:tcPr>
            <w:tcW w:w="6080" w:type="dxa"/>
            <w:tcBorders>
              <w:top w:val="nil"/>
              <w:left w:val="nil"/>
              <w:bottom w:val="nil"/>
              <w:right w:val="nil"/>
            </w:tcBorders>
            <w:noWrap/>
          </w:tcPr>
          <w:p w14:paraId="452403FD">
            <w:pPr>
              <w:ind w:firstLine="360" w:firstLineChars="200"/>
              <w:rPr>
                <w:rFonts w:hint="eastAsia" w:ascii="宋体" w:hAnsi="宋体" w:cs="宋体"/>
                <w:sz w:val="18"/>
                <w:szCs w:val="18"/>
              </w:rPr>
            </w:pPr>
            <w:r>
              <w:rPr>
                <w:rFonts w:hint="eastAsia" w:ascii="宋体" w:hAnsi="宋体" w:cs="宋体"/>
                <w:sz w:val="18"/>
                <w:szCs w:val="18"/>
              </w:rPr>
              <w:t>住所地：</w:t>
            </w:r>
          </w:p>
        </w:tc>
      </w:tr>
    </w:tbl>
    <w:p w14:paraId="1011F1F9">
      <w:pPr>
        <w:ind w:firstLine="360" w:firstLineChars="200"/>
        <w:rPr>
          <w:rFonts w:hint="eastAsia" w:ascii="宋体" w:hAnsi="宋体" w:cs="仿宋"/>
          <w:sz w:val="18"/>
          <w:szCs w:val="18"/>
        </w:rPr>
      </w:pPr>
    </w:p>
    <w:p w14:paraId="5760B690">
      <w:pPr>
        <w:ind w:firstLine="360" w:firstLineChars="200"/>
        <w:rPr>
          <w:rFonts w:hint="eastAsia" w:ascii="宋体" w:hAnsi="宋体" w:cs="仿宋"/>
          <w:sz w:val="18"/>
          <w:szCs w:val="18"/>
        </w:rPr>
      </w:pPr>
    </w:p>
    <w:p w14:paraId="2DB32858">
      <w:pPr>
        <w:ind w:firstLine="360" w:firstLineChars="200"/>
        <w:rPr>
          <w:rFonts w:hint="eastAsia" w:ascii="宋体" w:hAnsi="宋体" w:cs="仿宋"/>
          <w:sz w:val="18"/>
          <w:szCs w:val="18"/>
        </w:rPr>
      </w:pPr>
    </w:p>
    <w:p w14:paraId="69F301B3">
      <w:pPr>
        <w:ind w:firstLine="360" w:firstLineChars="200"/>
        <w:rPr>
          <w:rFonts w:hint="eastAsia" w:ascii="宋体" w:hAnsi="宋体" w:cs="仿宋"/>
          <w:sz w:val="18"/>
          <w:szCs w:val="18"/>
        </w:rPr>
      </w:pPr>
    </w:p>
    <w:p w14:paraId="5623E37D">
      <w:pPr>
        <w:ind w:firstLine="360" w:firstLineChars="200"/>
        <w:rPr>
          <w:rFonts w:hint="eastAsia" w:ascii="宋体" w:hAnsi="宋体" w:cs="仿宋"/>
          <w:sz w:val="18"/>
          <w:szCs w:val="18"/>
        </w:rPr>
      </w:pPr>
    </w:p>
    <w:p w14:paraId="02DE3D24">
      <w:pPr>
        <w:ind w:firstLine="360" w:firstLineChars="200"/>
        <w:rPr>
          <w:rFonts w:hint="eastAsia" w:ascii="宋体" w:hAnsi="宋体" w:cs="仿宋"/>
          <w:sz w:val="18"/>
          <w:szCs w:val="18"/>
        </w:rPr>
      </w:pPr>
      <w:r>
        <w:rPr>
          <w:rFonts w:hint="eastAsia" w:ascii="宋体" w:hAnsi="宋体" w:cs="仿宋"/>
          <w:sz w:val="18"/>
          <w:szCs w:val="18"/>
        </w:rPr>
        <w:t>根据《中华人民共和国政府采购法》、《中华人民共和国民法典》等法律法规的规定，甲乙双方经过友好协商，按照    项目编号为          的        结果签订本合同，承诺共同信守。</w:t>
      </w:r>
    </w:p>
    <w:p w14:paraId="22DC3651">
      <w:pPr>
        <w:ind w:firstLine="360" w:firstLineChars="200"/>
        <w:rPr>
          <w:rFonts w:hint="eastAsia" w:ascii="宋体" w:hAnsi="宋体" w:cs="仿宋"/>
          <w:sz w:val="18"/>
          <w:szCs w:val="18"/>
        </w:rPr>
      </w:pPr>
      <w:r>
        <w:rPr>
          <w:rFonts w:hint="eastAsia" w:ascii="宋体" w:hAnsi="宋体" w:cs="仿宋"/>
          <w:sz w:val="18"/>
          <w:szCs w:val="18"/>
        </w:rPr>
        <w:t xml:space="preserve">第一条 合同标的 </w:t>
      </w:r>
    </w:p>
    <w:p w14:paraId="751C89A8">
      <w:pPr>
        <w:ind w:firstLine="360" w:firstLineChars="200"/>
        <w:rPr>
          <w:rFonts w:hint="eastAsia" w:ascii="宋体" w:hAnsi="宋体" w:cs="仿宋"/>
          <w:sz w:val="18"/>
          <w:szCs w:val="18"/>
        </w:rPr>
      </w:pPr>
      <w:r>
        <w:rPr>
          <w:rFonts w:hint="eastAsia" w:ascii="宋体" w:hAnsi="宋体" w:cs="仿宋"/>
          <w:sz w:val="18"/>
          <w:szCs w:val="18"/>
        </w:rPr>
        <w:t>乙方根据甲方要求提供下列产品（服务）：</w:t>
      </w:r>
    </w:p>
    <w:tbl>
      <w:tblPr>
        <w:tblStyle w:val="8"/>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9"/>
        <w:gridCol w:w="2865"/>
        <w:gridCol w:w="708"/>
        <w:gridCol w:w="1560"/>
        <w:gridCol w:w="1584"/>
        <w:gridCol w:w="1742"/>
      </w:tblGrid>
      <w:tr w14:paraId="127E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62D9E6C5">
            <w:pPr>
              <w:ind w:firstLine="360" w:firstLineChars="200"/>
              <w:rPr>
                <w:rFonts w:hint="eastAsia" w:ascii="宋体" w:hAnsi="宋体" w:cs="仿宋"/>
                <w:sz w:val="18"/>
                <w:szCs w:val="18"/>
              </w:rPr>
            </w:pPr>
            <w:r>
              <w:rPr>
                <w:rFonts w:hint="eastAsia" w:ascii="宋体" w:hAnsi="宋体" w:cs="仿宋"/>
                <w:sz w:val="18"/>
                <w:szCs w:val="18"/>
              </w:rPr>
              <w:t>设备名称</w:t>
            </w:r>
          </w:p>
        </w:tc>
        <w:tc>
          <w:tcPr>
            <w:tcW w:w="2865" w:type="dxa"/>
            <w:tcBorders>
              <w:top w:val="single" w:color="auto" w:sz="4" w:space="0"/>
              <w:left w:val="single" w:color="auto" w:sz="4" w:space="0"/>
              <w:bottom w:val="single" w:color="auto" w:sz="4" w:space="0"/>
              <w:right w:val="single" w:color="auto" w:sz="4" w:space="0"/>
            </w:tcBorders>
            <w:noWrap/>
            <w:vAlign w:val="center"/>
          </w:tcPr>
          <w:p w14:paraId="5C76ED67">
            <w:pPr>
              <w:rPr>
                <w:rFonts w:hint="eastAsia" w:ascii="宋体" w:hAnsi="宋体" w:eastAsia="宋体" w:cs="仿宋"/>
                <w:sz w:val="18"/>
                <w:szCs w:val="18"/>
                <w:lang w:eastAsia="zh-CN"/>
              </w:rPr>
            </w:pPr>
            <w:r>
              <w:rPr>
                <w:rFonts w:hint="eastAsia" w:ascii="宋体" w:hAnsi="宋体" w:cs="仿宋"/>
                <w:sz w:val="18"/>
                <w:szCs w:val="18"/>
              </w:rPr>
              <w:t>品牌、规格型号、注册证号</w:t>
            </w:r>
            <w:r>
              <w:rPr>
                <w:rFonts w:hint="eastAsia" w:ascii="宋体" w:hAnsi="宋体" w:eastAsia="宋体" w:cs="仿宋"/>
                <w:sz w:val="18"/>
                <w:szCs w:val="18"/>
                <w:lang w:eastAsia="zh-CN"/>
              </w:rPr>
              <w:t>、产地</w:t>
            </w:r>
          </w:p>
        </w:tc>
        <w:tc>
          <w:tcPr>
            <w:tcW w:w="708" w:type="dxa"/>
            <w:tcBorders>
              <w:top w:val="single" w:color="auto" w:sz="4" w:space="0"/>
              <w:left w:val="single" w:color="auto" w:sz="4" w:space="0"/>
              <w:bottom w:val="single" w:color="auto" w:sz="4" w:space="0"/>
              <w:right w:val="single" w:color="auto" w:sz="4" w:space="0"/>
            </w:tcBorders>
            <w:noWrap/>
            <w:vAlign w:val="center"/>
          </w:tcPr>
          <w:p w14:paraId="597E8074">
            <w:pPr>
              <w:rPr>
                <w:rFonts w:hint="eastAsia" w:ascii="宋体" w:hAnsi="宋体" w:cs="仿宋"/>
                <w:sz w:val="18"/>
                <w:szCs w:val="18"/>
              </w:rPr>
            </w:pPr>
            <w:r>
              <w:rPr>
                <w:rFonts w:hint="eastAsia" w:ascii="宋体" w:hAnsi="宋体" w:cs="仿宋"/>
                <w:sz w:val="18"/>
                <w:szCs w:val="18"/>
              </w:rPr>
              <w:t>数量</w:t>
            </w:r>
          </w:p>
        </w:tc>
        <w:tc>
          <w:tcPr>
            <w:tcW w:w="1560" w:type="dxa"/>
            <w:tcBorders>
              <w:top w:val="single" w:color="auto" w:sz="4" w:space="0"/>
              <w:left w:val="single" w:color="auto" w:sz="4" w:space="0"/>
              <w:bottom w:val="single" w:color="auto" w:sz="4" w:space="0"/>
              <w:right w:val="single" w:color="auto" w:sz="4" w:space="0"/>
            </w:tcBorders>
            <w:noWrap/>
            <w:vAlign w:val="center"/>
          </w:tcPr>
          <w:p w14:paraId="6512BB87">
            <w:pPr>
              <w:spacing w:line="240" w:lineRule="auto"/>
              <w:rPr>
                <w:rFonts w:hint="eastAsia" w:ascii="宋体" w:hAnsi="宋体" w:cs="仿宋"/>
                <w:sz w:val="18"/>
                <w:szCs w:val="18"/>
              </w:rPr>
            </w:pPr>
            <w:r>
              <w:rPr>
                <w:rFonts w:hint="eastAsia" w:ascii="宋体" w:hAnsi="宋体" w:cs="仿宋"/>
                <w:sz w:val="18"/>
                <w:szCs w:val="18"/>
              </w:rPr>
              <w:t>单价（元人民币）</w:t>
            </w:r>
          </w:p>
        </w:tc>
        <w:tc>
          <w:tcPr>
            <w:tcW w:w="1584" w:type="dxa"/>
            <w:tcBorders>
              <w:top w:val="single" w:color="auto" w:sz="4" w:space="0"/>
              <w:left w:val="single" w:color="auto" w:sz="4" w:space="0"/>
              <w:bottom w:val="single" w:color="auto" w:sz="4" w:space="0"/>
              <w:right w:val="single" w:color="auto" w:sz="4" w:space="0"/>
            </w:tcBorders>
            <w:noWrap/>
            <w:vAlign w:val="center"/>
          </w:tcPr>
          <w:p w14:paraId="1AB11EA2">
            <w:pPr>
              <w:spacing w:line="240" w:lineRule="auto"/>
              <w:rPr>
                <w:rFonts w:hint="eastAsia" w:ascii="宋体" w:hAnsi="宋体" w:cs="仿宋"/>
                <w:sz w:val="18"/>
                <w:szCs w:val="18"/>
              </w:rPr>
            </w:pPr>
            <w:r>
              <w:rPr>
                <w:rFonts w:hint="eastAsia" w:ascii="宋体" w:hAnsi="宋体" w:cs="仿宋"/>
                <w:sz w:val="18"/>
                <w:szCs w:val="18"/>
              </w:rPr>
              <w:t>总价（元人民币）</w:t>
            </w:r>
          </w:p>
        </w:tc>
        <w:tc>
          <w:tcPr>
            <w:tcW w:w="1742" w:type="dxa"/>
            <w:tcBorders>
              <w:top w:val="single" w:color="auto" w:sz="4" w:space="0"/>
              <w:left w:val="single" w:color="auto" w:sz="4" w:space="0"/>
              <w:bottom w:val="single" w:color="auto" w:sz="4" w:space="0"/>
              <w:right w:val="single" w:color="auto" w:sz="4" w:space="0"/>
            </w:tcBorders>
            <w:noWrap/>
            <w:vAlign w:val="center"/>
          </w:tcPr>
          <w:p w14:paraId="17F0F89B">
            <w:pPr>
              <w:ind w:firstLine="360" w:firstLineChars="200"/>
              <w:rPr>
                <w:rFonts w:hint="eastAsia" w:ascii="宋体" w:hAnsi="宋体" w:cs="仿宋"/>
                <w:sz w:val="18"/>
                <w:szCs w:val="18"/>
              </w:rPr>
            </w:pPr>
            <w:r>
              <w:rPr>
                <w:rFonts w:hint="eastAsia" w:ascii="宋体" w:hAnsi="宋体" w:cs="仿宋"/>
                <w:sz w:val="18"/>
                <w:szCs w:val="18"/>
              </w:rPr>
              <w:t>制造商全称</w:t>
            </w:r>
          </w:p>
        </w:tc>
      </w:tr>
      <w:tr w14:paraId="3BE1E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19" w:type="dxa"/>
            <w:tcBorders>
              <w:top w:val="single" w:color="auto" w:sz="4" w:space="0"/>
              <w:left w:val="single" w:color="auto" w:sz="4" w:space="0"/>
              <w:bottom w:val="single" w:color="auto" w:sz="4" w:space="0"/>
              <w:right w:val="single" w:color="auto" w:sz="4" w:space="0"/>
            </w:tcBorders>
            <w:noWrap/>
            <w:vAlign w:val="center"/>
          </w:tcPr>
          <w:p w14:paraId="0B5CB768">
            <w:pPr>
              <w:rPr>
                <w:rFonts w:hint="eastAsia" w:ascii="宋体" w:hAnsi="宋体" w:cs="仿宋"/>
                <w:sz w:val="18"/>
                <w:szCs w:val="18"/>
              </w:rPr>
            </w:pPr>
          </w:p>
        </w:tc>
        <w:tc>
          <w:tcPr>
            <w:tcW w:w="2865" w:type="dxa"/>
            <w:tcBorders>
              <w:top w:val="single" w:color="auto" w:sz="4" w:space="0"/>
              <w:left w:val="single" w:color="auto" w:sz="4" w:space="0"/>
              <w:bottom w:val="single" w:color="auto" w:sz="4" w:space="0"/>
              <w:right w:val="single" w:color="auto" w:sz="4" w:space="0"/>
            </w:tcBorders>
            <w:noWrap/>
            <w:vAlign w:val="center"/>
          </w:tcPr>
          <w:p w14:paraId="7EF4BEEF">
            <w:pPr>
              <w:rPr>
                <w:rFonts w:hint="eastAsia" w:ascii="宋体" w:hAnsi="宋体" w:cs="仿宋"/>
                <w:sz w:val="18"/>
                <w:szCs w:val="18"/>
              </w:rPr>
            </w:pPr>
          </w:p>
        </w:tc>
        <w:tc>
          <w:tcPr>
            <w:tcW w:w="708" w:type="dxa"/>
            <w:tcBorders>
              <w:top w:val="single" w:color="auto" w:sz="4" w:space="0"/>
              <w:left w:val="single" w:color="auto" w:sz="4" w:space="0"/>
              <w:bottom w:val="single" w:color="auto" w:sz="4" w:space="0"/>
              <w:right w:val="single" w:color="auto" w:sz="4" w:space="0"/>
            </w:tcBorders>
            <w:noWrap/>
            <w:vAlign w:val="center"/>
          </w:tcPr>
          <w:p w14:paraId="0E4DD2D5">
            <w:pPr>
              <w:ind w:firstLine="360" w:firstLineChars="200"/>
              <w:rPr>
                <w:rFonts w:hint="eastAsia" w:ascii="宋体" w:hAnsi="宋体" w:cs="仿宋"/>
                <w:sz w:val="18"/>
                <w:szCs w:val="18"/>
              </w:rPr>
            </w:pPr>
          </w:p>
        </w:tc>
        <w:tc>
          <w:tcPr>
            <w:tcW w:w="1560" w:type="dxa"/>
            <w:tcBorders>
              <w:top w:val="single" w:color="auto" w:sz="4" w:space="0"/>
              <w:left w:val="single" w:color="auto" w:sz="4" w:space="0"/>
              <w:bottom w:val="single" w:color="auto" w:sz="4" w:space="0"/>
              <w:right w:val="single" w:color="auto" w:sz="4" w:space="0"/>
            </w:tcBorders>
            <w:noWrap/>
            <w:vAlign w:val="center"/>
          </w:tcPr>
          <w:p w14:paraId="5A9E0088">
            <w:pPr>
              <w:ind w:firstLine="360" w:firstLineChars="200"/>
              <w:rPr>
                <w:rFonts w:hint="eastAsia" w:ascii="宋体" w:hAnsi="宋体" w:cs="仿宋"/>
                <w:sz w:val="18"/>
                <w:szCs w:val="18"/>
              </w:rPr>
            </w:pPr>
          </w:p>
        </w:tc>
        <w:tc>
          <w:tcPr>
            <w:tcW w:w="1584" w:type="dxa"/>
            <w:tcBorders>
              <w:top w:val="single" w:color="auto" w:sz="4" w:space="0"/>
              <w:left w:val="single" w:color="auto" w:sz="4" w:space="0"/>
              <w:bottom w:val="single" w:color="auto" w:sz="4" w:space="0"/>
              <w:right w:val="single" w:color="auto" w:sz="4" w:space="0"/>
            </w:tcBorders>
            <w:noWrap/>
            <w:vAlign w:val="center"/>
          </w:tcPr>
          <w:p w14:paraId="7A87425C">
            <w:pPr>
              <w:ind w:firstLine="360" w:firstLineChars="200"/>
              <w:rPr>
                <w:rFonts w:hint="eastAsia" w:ascii="宋体" w:hAnsi="宋体" w:cs="仿宋"/>
                <w:sz w:val="18"/>
                <w:szCs w:val="18"/>
              </w:rPr>
            </w:pPr>
          </w:p>
        </w:tc>
        <w:tc>
          <w:tcPr>
            <w:tcW w:w="1742" w:type="dxa"/>
            <w:tcBorders>
              <w:top w:val="single" w:color="auto" w:sz="4" w:space="0"/>
              <w:left w:val="single" w:color="auto" w:sz="4" w:space="0"/>
              <w:right w:val="single" w:color="auto" w:sz="4" w:space="0"/>
            </w:tcBorders>
            <w:noWrap/>
            <w:vAlign w:val="center"/>
          </w:tcPr>
          <w:p w14:paraId="3209C546">
            <w:pPr>
              <w:jc w:val="center"/>
              <w:rPr>
                <w:rFonts w:hint="eastAsia" w:ascii="宋体" w:hAnsi="宋体" w:cs="仿宋"/>
                <w:sz w:val="18"/>
                <w:szCs w:val="18"/>
              </w:rPr>
            </w:pPr>
          </w:p>
        </w:tc>
      </w:tr>
      <w:tr w14:paraId="64E85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78" w:type="dxa"/>
            <w:gridSpan w:val="6"/>
            <w:tcBorders>
              <w:top w:val="single" w:color="auto" w:sz="4" w:space="0"/>
              <w:left w:val="single" w:color="auto" w:sz="4" w:space="0"/>
              <w:bottom w:val="single" w:color="auto" w:sz="4" w:space="0"/>
              <w:right w:val="single" w:color="auto" w:sz="4" w:space="0"/>
            </w:tcBorders>
            <w:noWrap/>
            <w:vAlign w:val="center"/>
          </w:tcPr>
          <w:p w14:paraId="635C3EF6">
            <w:pPr>
              <w:ind w:firstLine="360" w:firstLineChars="200"/>
              <w:rPr>
                <w:rFonts w:hint="eastAsia" w:ascii="宋体" w:hAnsi="宋体" w:cs="仿宋"/>
                <w:sz w:val="18"/>
                <w:szCs w:val="18"/>
              </w:rPr>
            </w:pPr>
            <w:r>
              <w:rPr>
                <w:rFonts w:hint="eastAsia" w:ascii="宋体" w:hAnsi="宋体" w:cs="仿宋"/>
                <w:sz w:val="18"/>
                <w:szCs w:val="18"/>
              </w:rPr>
              <w:t>总计：</w:t>
            </w:r>
            <w:r>
              <w:rPr>
                <w:rFonts w:hint="eastAsia" w:ascii="宋体" w:hAnsi="宋体" w:cs="宋体"/>
                <w:sz w:val="18"/>
                <w:szCs w:val="18"/>
              </w:rPr>
              <w:t xml:space="preserve">   </w:t>
            </w:r>
            <w:r>
              <w:rPr>
                <w:rFonts w:hint="eastAsia" w:ascii="宋体" w:hAnsi="宋体" w:cs="仿宋"/>
                <w:sz w:val="18"/>
                <w:szCs w:val="18"/>
              </w:rPr>
              <w:t>元         大写：（人民币）   元整</w:t>
            </w:r>
          </w:p>
        </w:tc>
      </w:tr>
    </w:tbl>
    <w:p w14:paraId="412136A5">
      <w:pPr>
        <w:ind w:firstLine="360" w:firstLineChars="200"/>
        <w:rPr>
          <w:rFonts w:hint="eastAsia" w:ascii="宋体" w:hAnsi="宋体" w:cs="仿宋"/>
          <w:sz w:val="18"/>
          <w:szCs w:val="18"/>
        </w:rPr>
      </w:pPr>
      <w:r>
        <w:rPr>
          <w:rFonts w:hint="eastAsia" w:ascii="宋体" w:hAnsi="宋体" w:cs="仿宋"/>
          <w:sz w:val="18"/>
          <w:szCs w:val="18"/>
        </w:rPr>
        <w:t xml:space="preserve">第二条 合同总价款 </w:t>
      </w:r>
    </w:p>
    <w:p w14:paraId="323A2771">
      <w:pPr>
        <w:ind w:firstLine="360" w:firstLineChars="200"/>
        <w:rPr>
          <w:rFonts w:hint="eastAsia" w:ascii="宋体" w:hAnsi="宋体" w:cs="仿宋"/>
          <w:sz w:val="18"/>
          <w:szCs w:val="18"/>
        </w:rPr>
      </w:pPr>
      <w:r>
        <w:rPr>
          <w:rFonts w:hint="eastAsia" w:ascii="宋体" w:hAnsi="宋体" w:cs="仿宋"/>
          <w:sz w:val="18"/>
          <w:szCs w:val="18"/>
        </w:rPr>
        <w:t>本合同项下货物总价款为（大写）人民币   万元整。本合同总价款是货物制造、包装、仓储、运输、安装及验收合格前和保修期内发生的所有含税费用（含接口费）。本合同总价款还包含乙方应当提供的伴随服务/售后服务费用。</w:t>
      </w:r>
    </w:p>
    <w:p w14:paraId="7C07E92C">
      <w:pPr>
        <w:ind w:firstLine="360" w:firstLineChars="200"/>
        <w:rPr>
          <w:rFonts w:hint="eastAsia" w:ascii="宋体" w:hAnsi="宋体" w:cs="仿宋"/>
          <w:sz w:val="18"/>
          <w:szCs w:val="18"/>
        </w:rPr>
      </w:pPr>
      <w:r>
        <w:rPr>
          <w:rFonts w:hint="eastAsia" w:ascii="宋体" w:hAnsi="宋体" w:cs="仿宋"/>
          <w:sz w:val="18"/>
          <w:szCs w:val="18"/>
        </w:rPr>
        <w:t>第三条  交货期限</w:t>
      </w:r>
    </w:p>
    <w:p w14:paraId="568935FE">
      <w:pPr>
        <w:ind w:firstLine="360" w:firstLineChars="200"/>
        <w:rPr>
          <w:rFonts w:hint="eastAsia" w:ascii="宋体" w:hAnsi="宋体" w:cs="仿宋"/>
          <w:sz w:val="18"/>
          <w:szCs w:val="18"/>
        </w:rPr>
      </w:pPr>
      <w:r>
        <w:rPr>
          <w:rFonts w:hint="eastAsia" w:ascii="宋体" w:hAnsi="宋体" w:cs="仿宋"/>
          <w:sz w:val="18"/>
          <w:szCs w:val="18"/>
        </w:rPr>
        <w:t>乙方应当在合同签订后    内完成送货到甲方指定地点（联系人：临床医学工程部025-56232024），设备到货当天，乙方应派有经验和能力、具有相应资质的技术人员，完成设备安装、调试至交付使用，乙方承担因此发生的一切费用。</w:t>
      </w:r>
    </w:p>
    <w:p w14:paraId="68E93899">
      <w:pPr>
        <w:ind w:firstLine="360" w:firstLineChars="200"/>
        <w:rPr>
          <w:rFonts w:hint="eastAsia" w:ascii="宋体" w:hAnsi="宋体" w:cs="仿宋"/>
          <w:sz w:val="18"/>
          <w:szCs w:val="18"/>
        </w:rPr>
      </w:pPr>
      <w:r>
        <w:rPr>
          <w:rFonts w:hint="eastAsia" w:ascii="宋体" w:hAnsi="宋体" w:cs="仿宋"/>
          <w:sz w:val="18"/>
          <w:szCs w:val="18"/>
        </w:rPr>
        <w:t>第四条  合同款支付：</w:t>
      </w:r>
    </w:p>
    <w:p w14:paraId="562D31ED">
      <w:pPr>
        <w:ind w:firstLine="360" w:firstLineChars="200"/>
        <w:rPr>
          <w:rFonts w:hint="eastAsia" w:ascii="宋体" w:hAnsi="宋体" w:cs="仿宋"/>
          <w:sz w:val="18"/>
          <w:szCs w:val="18"/>
        </w:rPr>
      </w:pPr>
      <w:r>
        <w:rPr>
          <w:rFonts w:hint="eastAsia" w:ascii="宋体" w:hAnsi="宋体" w:cs="仿宋"/>
          <w:sz w:val="18"/>
          <w:szCs w:val="18"/>
        </w:rPr>
        <w:t>第五条  质量保证</w:t>
      </w:r>
    </w:p>
    <w:p w14:paraId="1EE143F7">
      <w:pPr>
        <w:ind w:firstLine="361" w:firstLineChars="200"/>
        <w:rPr>
          <w:rFonts w:hint="eastAsia" w:ascii="宋体" w:hAnsi="宋体" w:cs="仿宋"/>
          <w:sz w:val="18"/>
          <w:szCs w:val="18"/>
        </w:rPr>
      </w:pPr>
      <w:r>
        <w:rPr>
          <w:rFonts w:hint="eastAsia" w:ascii="宋体" w:hAnsi="宋体" w:cs="仿宋"/>
          <w:b/>
          <w:bCs/>
          <w:sz w:val="18"/>
          <w:szCs w:val="18"/>
        </w:rPr>
        <w:t>乙方应保证货物（包括零部件、配件）是全新、未使用过的、未拆封的原装合格正品（所供设备生产日期在6个月内（国产）/12个月内（进口））</w:t>
      </w:r>
      <w:r>
        <w:rPr>
          <w:rFonts w:hint="eastAsia" w:ascii="宋体" w:hAnsi="宋体" w:cs="仿宋"/>
          <w:sz w:val="18"/>
          <w:szCs w:val="18"/>
        </w:rPr>
        <w:t>，并完全符合国家质量检测标准和环保标准，具备出厂合格证，乙方提供的货物质量应符合中华人民共和国相关标准及相应的技术规范。乙方应保证其提供的货物在正常使用和保养条件下，在其使用寿命内具有良好的性能。设备验收后如甲方发现技术指标异常或提出其他异议的，乙方应在二个工作日内负责解决。</w:t>
      </w:r>
    </w:p>
    <w:p w14:paraId="42F91FAA">
      <w:pPr>
        <w:ind w:firstLine="360" w:firstLineChars="200"/>
        <w:rPr>
          <w:rFonts w:hint="eastAsia" w:ascii="宋体" w:hAnsi="宋体" w:cs="仿宋"/>
          <w:sz w:val="18"/>
          <w:szCs w:val="18"/>
        </w:rPr>
      </w:pPr>
      <w:r>
        <w:rPr>
          <w:rFonts w:hint="eastAsia" w:ascii="宋体" w:hAnsi="宋体" w:cs="仿宋"/>
          <w:sz w:val="18"/>
          <w:szCs w:val="18"/>
        </w:rPr>
        <w:t>免费质保期</w:t>
      </w:r>
      <w:r>
        <w:rPr>
          <w:rFonts w:hint="eastAsia" w:ascii="宋体" w:hAnsi="宋体" w:cs="仿宋"/>
          <w:b/>
          <w:bCs/>
          <w:sz w:val="18"/>
          <w:szCs w:val="18"/>
        </w:rPr>
        <w:t xml:space="preserve">：乙方承诺本项目整机免费原厂质保    </w:t>
      </w:r>
      <w:r>
        <w:rPr>
          <w:rFonts w:hint="eastAsia" w:ascii="宋体" w:hAnsi="宋体" w:cs="宋体"/>
          <w:b/>
          <w:bCs/>
          <w:sz w:val="18"/>
          <w:szCs w:val="18"/>
        </w:rPr>
        <w:t>，</w:t>
      </w:r>
      <w:r>
        <w:rPr>
          <w:rFonts w:hint="eastAsia" w:ascii="宋体" w:hAnsi="宋体" w:cs="仿宋"/>
          <w:b/>
          <w:bCs/>
          <w:sz w:val="18"/>
          <w:szCs w:val="18"/>
        </w:rPr>
        <w:t>自甲方验收合格之日算起</w:t>
      </w:r>
      <w:r>
        <w:rPr>
          <w:rFonts w:hint="eastAsia" w:ascii="宋体" w:hAnsi="宋体" w:cs="仿宋"/>
          <w:sz w:val="18"/>
          <w:szCs w:val="18"/>
        </w:rPr>
        <w:t>。质保期内乙方每年提供</w:t>
      </w:r>
      <w:r>
        <w:rPr>
          <w:rFonts w:hint="eastAsia" w:ascii="宋体" w:hAnsi="宋体" w:cs="仿宋"/>
          <w:sz w:val="18"/>
          <w:szCs w:val="18"/>
          <w:u w:val="single"/>
        </w:rPr>
        <w:t xml:space="preserve">   </w:t>
      </w:r>
      <w:r>
        <w:rPr>
          <w:rFonts w:hint="eastAsia" w:ascii="宋体" w:hAnsi="宋体" w:cs="仿宋"/>
          <w:sz w:val="18"/>
          <w:szCs w:val="18"/>
        </w:rPr>
        <w:t>次免费上门维保服务，包括更换易损件，提供书面维护保养记录，并由甲方签字确认。质保期内同一故障两次维修仍无法修复的，乙方负责免费包换整机，7日内不能修复和包换，因质量问题造成的损失，乙方应照价赔偿甲方。质保期内发生3次同一种重大质量问题，乙方无条件负责免费更换整机。在保修期内，如果原厂方鉴定设备因为人为损坏，厂方须出具具有法定权威性第三方检测证明，否则一律视为保修范围内容处理。质保期外乙方负责对本设备终身维修。</w:t>
      </w:r>
    </w:p>
    <w:p w14:paraId="6A409ACA">
      <w:pPr>
        <w:ind w:firstLine="360" w:firstLineChars="200"/>
        <w:rPr>
          <w:rFonts w:hint="eastAsia" w:ascii="宋体" w:hAnsi="宋体" w:cs="仿宋"/>
          <w:sz w:val="18"/>
          <w:szCs w:val="18"/>
        </w:rPr>
      </w:pPr>
      <w:r>
        <w:rPr>
          <w:rFonts w:hint="eastAsia" w:ascii="宋体" w:hAnsi="宋体" w:cs="仿宋"/>
          <w:sz w:val="18"/>
          <w:szCs w:val="18"/>
        </w:rPr>
        <w:t>无论在保修期内还是保修期外，乙方均承诺上门维修，乙方工程师至甲方维修本设备，必须事先与甲方设备管理部门取得联系，并做相应登记；在维修过程中与甲方工程师共同完成维修工作。否则引起的一切责任由乙方负责。为保证设备正常运行，乙方承诺在设备的使用寿命周期内保证为甲方更换到原厂正宗的零部件并做到24小时内常用零配件供应，确保设备的正常使用。乙方承诺提供的设备或备件的价格不得高于市场同类产品的中等价格水平。如乙方将要停止备件生产，应事先将停产计划通知甲方，以使甲方有足够的时间采购所需的备件。否则因备件问题导致设备无法正常使用，甲方有权向乙方追索全部损失。</w:t>
      </w:r>
    </w:p>
    <w:p w14:paraId="4B7F3603">
      <w:pPr>
        <w:ind w:firstLine="360" w:firstLineChars="200"/>
        <w:rPr>
          <w:rFonts w:hint="eastAsia" w:ascii="宋体" w:hAnsi="宋体" w:cs="仿宋"/>
          <w:sz w:val="18"/>
          <w:szCs w:val="18"/>
        </w:rPr>
      </w:pPr>
      <w:r>
        <w:rPr>
          <w:rFonts w:hint="eastAsia" w:ascii="宋体" w:hAnsi="宋体" w:cs="仿宋"/>
          <w:sz w:val="18"/>
          <w:szCs w:val="18"/>
        </w:rPr>
        <w:t>售后服务要求：在接到甲方维修及技术服务要求后，乙方须立即响应，</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小时内到现场排除故障（包括所有节假日），</w:t>
      </w:r>
      <w:r>
        <w:rPr>
          <w:rFonts w:hint="eastAsia" w:ascii="宋体" w:hAnsi="宋体" w:eastAsia="宋体" w:cs="仿宋"/>
          <w:sz w:val="18"/>
          <w:szCs w:val="18"/>
          <w:u w:val="single"/>
          <w:lang w:val="en-US" w:eastAsia="zh-CN"/>
        </w:rPr>
        <w:t xml:space="preserve">  </w:t>
      </w:r>
      <w:r>
        <w:rPr>
          <w:rFonts w:hint="eastAsia" w:ascii="宋体" w:hAnsi="宋体" w:cs="仿宋"/>
          <w:sz w:val="18"/>
          <w:szCs w:val="18"/>
        </w:rPr>
        <w:t>小时内如果不能及时解决机器实际工作中出现的问题，乙方须提供不低于故障机规格型号档次的备用设备，否则甲方可自行采取必要的措施，由此产生的风险和费用由乙方承担。如有特殊情况，乙方应立即电话通知甲方不能响应的原因，在获得甲方同意后，才可推迟响应时间。</w:t>
      </w:r>
    </w:p>
    <w:p w14:paraId="6A47E9E1">
      <w:pPr>
        <w:ind w:firstLine="360" w:firstLineChars="200"/>
        <w:rPr>
          <w:rFonts w:hint="eastAsia" w:hAnsi="宋体" w:cs="仿宋"/>
          <w:sz w:val="18"/>
          <w:szCs w:val="18"/>
        </w:rPr>
      </w:pPr>
      <w:r>
        <w:rPr>
          <w:rFonts w:hint="eastAsia" w:hAnsi="宋体" w:cs="仿宋"/>
          <w:sz w:val="18"/>
          <w:szCs w:val="18"/>
        </w:rPr>
        <w:t>软件升级：乙方承诺终身免费升级软件，并对新软件的功能免费培训，免费开放数据接口，如科室使用该设备需接入我院信息系统，产生的接口费用由乙方承担。</w:t>
      </w:r>
    </w:p>
    <w:p w14:paraId="63E43FF1">
      <w:pPr>
        <w:ind w:firstLine="360" w:firstLineChars="200"/>
        <w:rPr>
          <w:rFonts w:hint="eastAsia" w:ascii="宋体" w:hAnsi="宋体" w:cs="仿宋"/>
          <w:sz w:val="18"/>
          <w:szCs w:val="18"/>
        </w:rPr>
      </w:pPr>
      <w:r>
        <w:rPr>
          <w:rFonts w:hint="eastAsia" w:ascii="宋体" w:hAnsi="宋体" w:cs="仿宋"/>
          <w:sz w:val="18"/>
          <w:szCs w:val="18"/>
        </w:rPr>
        <w:t>技术培训：乙方免费提供工程师指导科室人员使用培训，乙方免费培训甲方维修人员完全掌握设备基本维修技术，提供书面医疗设备培训报告，并由甲方签字确认。如有专用工具，乙方需向甲方提供设备维护的专用工具。</w:t>
      </w:r>
    </w:p>
    <w:p w14:paraId="4675ED46">
      <w:pPr>
        <w:ind w:firstLine="360" w:firstLineChars="200"/>
        <w:rPr>
          <w:rFonts w:hint="eastAsia" w:ascii="宋体" w:hAnsi="宋体" w:cs="仿宋"/>
          <w:sz w:val="18"/>
          <w:szCs w:val="18"/>
        </w:rPr>
      </w:pPr>
      <w:r>
        <w:rPr>
          <w:rFonts w:hint="eastAsia" w:ascii="宋体" w:hAnsi="宋体" w:cs="仿宋"/>
          <w:sz w:val="18"/>
          <w:szCs w:val="18"/>
        </w:rPr>
        <w:t>保修期将满时，乙方需对设备及配件进行全面检测一次，解决检测出的问题，并向院方提供全面检测的书面报告。质保期满后，乙方须提供最优惠的维修价格（材料费、设备费等），在设备寿命期内，乙方须保证维修配件的供应和及时维修，维修价格保持不变（政策调整因素除外），且乙方免人工费，只收配件费用。</w:t>
      </w:r>
    </w:p>
    <w:p w14:paraId="351C5F69">
      <w:pPr>
        <w:ind w:firstLine="360" w:firstLineChars="200"/>
        <w:rPr>
          <w:rFonts w:hint="eastAsia" w:ascii="宋体" w:hAnsi="宋体" w:cs="仿宋"/>
          <w:sz w:val="18"/>
          <w:szCs w:val="18"/>
        </w:rPr>
      </w:pPr>
      <w:r>
        <w:rPr>
          <w:rFonts w:hint="eastAsia" w:ascii="宋体" w:hAnsi="宋体" w:cs="仿宋"/>
          <w:sz w:val="18"/>
          <w:szCs w:val="18"/>
        </w:rPr>
        <w:t>第六条  交付使用和验收</w:t>
      </w:r>
    </w:p>
    <w:p w14:paraId="1C8515D7">
      <w:pPr>
        <w:ind w:firstLine="360" w:firstLineChars="200"/>
        <w:rPr>
          <w:rFonts w:hint="eastAsia" w:ascii="宋体" w:hAnsi="宋体" w:cs="仿宋"/>
          <w:sz w:val="18"/>
          <w:szCs w:val="18"/>
        </w:rPr>
      </w:pPr>
      <w:r>
        <w:rPr>
          <w:rFonts w:hint="eastAsia" w:ascii="宋体" w:hAnsi="宋体" w:cs="仿宋"/>
          <w:sz w:val="18"/>
          <w:szCs w:val="18"/>
        </w:rPr>
        <w:t>乙方提供的所有货物，均应采用国家或专业标准保护要求和货物说明书、标签标示的要求进行包装，使包装适用于远距离运输，并有良好的防潮、防震、防锈和防野蛮装卸等保护措施，以确保货物安全无损运抵甲方现场。乙方应承担由于其包装不妥而引起货物锈蚀、损坏和丢失的责任。乙方应在每件包装箱内附一份详细装箱单和质量合格证书。设备在项目安装调试验收合格并移交给甲方之前的保管由乙方负责。设备安装时，乙方负责设备的免费安装和调试，但乙方必须事先与甲方的使用科室联系，并与使用科室共同参与，否则引起的一切责任由乙方承担。装机所产生的垃圾必须摆放整齐，不得有影响工作人员、病人及家属安全通过的行为。乙方在装机后12小时内必须完成对包装拆除物的清理。因包装拆除物原因引起的医疗事故和纠纷，由乙方承担全部法律和经济责任。</w:t>
      </w:r>
    </w:p>
    <w:p w14:paraId="38A392A7">
      <w:pPr>
        <w:ind w:firstLine="360" w:firstLineChars="200"/>
        <w:rPr>
          <w:rFonts w:hint="eastAsia" w:ascii="宋体" w:hAnsi="宋体" w:cs="仿宋"/>
          <w:sz w:val="18"/>
          <w:szCs w:val="18"/>
        </w:rPr>
      </w:pPr>
      <w:r>
        <w:rPr>
          <w:rFonts w:hint="eastAsia" w:ascii="宋体" w:hAnsi="宋体" w:cs="仿宋"/>
          <w:sz w:val="18"/>
          <w:szCs w:val="18"/>
        </w:rPr>
        <w:t>乙方免费提供全套资料，含医疗器械注册证、医疗器械生产许可证、医疗器械经营许可证、生产厂家营业执照、供应商营业执照、供应商医疗器械经营许可证、授权书、原厂质保函、装箱单、产品合格证、操作手册和中文说明书。进口产品还需提供进口货物报关单、检验检疫证明、中文装箱单、产品质量检测报告和中文说明书，并加盖供应商公章。如以上技术资料不全，甲方有权不支付货款。甲方自行组织验收，验收标准：采购标的需执行的国家标准、行业标准、地方标准或者其他标准、规范。乙方提供的货物、型号、规格、技术参数、数量、质量等不符合采购要求或合同规定的，甲方有权拒收，乙方愿意更换货物但逾期交货的，按乙方逾期交货处理。乙方拒绝更换货物的，甲方可单方面解除合同，乙方按合同总价的30%承担违约责任。</w:t>
      </w:r>
    </w:p>
    <w:p w14:paraId="763DD753">
      <w:pPr>
        <w:ind w:firstLine="360" w:firstLineChars="200"/>
        <w:rPr>
          <w:rFonts w:hint="eastAsia" w:ascii="宋体" w:hAnsi="宋体" w:cs="仿宋"/>
          <w:sz w:val="18"/>
          <w:szCs w:val="18"/>
        </w:rPr>
      </w:pPr>
      <w:r>
        <w:rPr>
          <w:rFonts w:hint="eastAsia" w:ascii="宋体" w:hAnsi="宋体" w:cs="仿宋"/>
          <w:sz w:val="18"/>
          <w:szCs w:val="18"/>
        </w:rPr>
        <w:t>包装要求：乙方提供的货物包装，应符合国家快递包装和商品包装政府采购需求标准的有关要求。</w:t>
      </w:r>
    </w:p>
    <w:p w14:paraId="3D7A7002">
      <w:pPr>
        <w:ind w:firstLine="360" w:firstLineChars="200"/>
        <w:rPr>
          <w:rFonts w:hint="eastAsia" w:ascii="宋体" w:hAnsi="宋体" w:cs="仿宋"/>
          <w:sz w:val="18"/>
          <w:szCs w:val="18"/>
        </w:rPr>
      </w:pPr>
      <w:r>
        <w:rPr>
          <w:rFonts w:hint="eastAsia" w:ascii="宋体" w:hAnsi="宋体" w:cs="仿宋"/>
          <w:sz w:val="18"/>
          <w:szCs w:val="18"/>
        </w:rPr>
        <w:t>第七条 权利保证</w:t>
      </w:r>
    </w:p>
    <w:p w14:paraId="1D27C316">
      <w:pPr>
        <w:ind w:firstLine="360" w:firstLineChars="200"/>
        <w:rPr>
          <w:rFonts w:hint="eastAsia" w:ascii="宋体" w:hAnsi="宋体" w:cs="仿宋"/>
          <w:sz w:val="18"/>
          <w:szCs w:val="18"/>
        </w:rPr>
      </w:pPr>
      <w:r>
        <w:rPr>
          <w:rFonts w:hint="eastAsia" w:ascii="宋体" w:hAnsi="宋体" w:cs="仿宋"/>
          <w:sz w:val="18"/>
          <w:szCs w:val="18"/>
        </w:rPr>
        <w:t>乙方应保证甲方在使用、接受本合同货物和服务或其任何一部分时不受第三方提出侵犯其专利权、版权、商标权和工业设计权等知识产权的起诉。一旦出现侵权，由乙方负全部责任。</w:t>
      </w:r>
    </w:p>
    <w:p w14:paraId="1973EBFA">
      <w:pPr>
        <w:ind w:firstLine="360" w:firstLineChars="200"/>
        <w:rPr>
          <w:rFonts w:hint="eastAsia" w:ascii="宋体" w:hAnsi="宋体" w:cs="仿宋"/>
          <w:sz w:val="18"/>
          <w:szCs w:val="18"/>
        </w:rPr>
      </w:pPr>
      <w:r>
        <w:rPr>
          <w:rFonts w:hint="eastAsia" w:ascii="宋体" w:hAnsi="宋体" w:cs="仿宋"/>
          <w:sz w:val="18"/>
          <w:szCs w:val="18"/>
        </w:rPr>
        <w:t xml:space="preserve">第八条 违约责任  </w:t>
      </w:r>
    </w:p>
    <w:p w14:paraId="0F308627">
      <w:pPr>
        <w:ind w:firstLine="360" w:firstLineChars="200"/>
        <w:rPr>
          <w:rFonts w:hint="eastAsia" w:ascii="宋体" w:hAnsi="宋体" w:cs="仿宋"/>
          <w:sz w:val="18"/>
          <w:szCs w:val="18"/>
        </w:rPr>
      </w:pPr>
      <w:r>
        <w:rPr>
          <w:rFonts w:hint="eastAsia" w:ascii="宋体" w:hAnsi="宋体" w:cs="仿宋"/>
          <w:sz w:val="18"/>
          <w:szCs w:val="18"/>
        </w:rPr>
        <w:t>1、</w:t>
      </w:r>
      <w:r>
        <w:rPr>
          <w:rFonts w:ascii="宋体" w:hAnsi="宋体" w:cs="仿宋"/>
          <w:sz w:val="18"/>
          <w:szCs w:val="18"/>
        </w:rPr>
        <w:t>乙方不得逾期交付货物，乙方每逾期一天交货，甲方按合同总价的5‰/日收取违约金；如逾期交货时间超过10天，甲方有权解除合同，乙方应按照合同总价的30%支付赔偿金。</w:t>
      </w:r>
      <w:r>
        <w:rPr>
          <w:rFonts w:hint="eastAsia" w:ascii="宋体" w:hAnsi="宋体" w:cs="仿宋"/>
          <w:sz w:val="18"/>
          <w:szCs w:val="18"/>
        </w:rPr>
        <w:t>非甲方同意，乙方不得超额供货。超额部分，甲方有权拒收，所有风险由乙方承担。</w:t>
      </w:r>
      <w:r>
        <w:rPr>
          <w:rFonts w:ascii="宋体" w:hAnsi="宋体" w:cs="仿宋"/>
          <w:sz w:val="18"/>
          <w:szCs w:val="18"/>
        </w:rPr>
        <w:br w:type="textWrapping"/>
      </w:r>
      <w:r>
        <w:rPr>
          <w:rFonts w:hint="eastAsia" w:ascii="宋体" w:hAnsi="宋体" w:cs="仿宋"/>
          <w:sz w:val="18"/>
          <w:szCs w:val="18"/>
        </w:rPr>
        <w:t xml:space="preserve">    2、</w:t>
      </w:r>
      <w:r>
        <w:rPr>
          <w:rFonts w:ascii="宋体" w:hAnsi="宋体" w:cs="仿宋"/>
          <w:sz w:val="18"/>
          <w:szCs w:val="18"/>
        </w:rPr>
        <w:t>在免费质保期内，因乙方违约不履行免费质保服务给甲方造成损失的（包括所有直接或间接损失），乙方应按合同总价的30%计算，向甲方支付违约金。乙方在收到甲方通知后10日内没有或拒不承担违约责任的，则甲方有权从尚未支付乙方的合同尾款中扣回违约金，如果违约金不足以补偿该损失或合同尾款已支付完毕，甲方有权继续要求乙方赔偿甲方所有实际损失，并保留申诉的权利。</w:t>
      </w:r>
    </w:p>
    <w:p w14:paraId="53973FB6">
      <w:pPr>
        <w:ind w:firstLine="360" w:firstLineChars="200"/>
        <w:rPr>
          <w:rFonts w:hint="eastAsia" w:ascii="宋体" w:hAnsi="宋体" w:cs="仿宋"/>
          <w:sz w:val="18"/>
          <w:szCs w:val="18"/>
        </w:rPr>
      </w:pPr>
      <w:r>
        <w:rPr>
          <w:rFonts w:hint="eastAsia" w:ascii="宋体" w:hAnsi="宋体" w:cs="仿宋"/>
          <w:sz w:val="18"/>
          <w:szCs w:val="18"/>
        </w:rPr>
        <w:t xml:space="preserve">第九条 合同的变更和终止  </w:t>
      </w:r>
    </w:p>
    <w:p w14:paraId="6C741623">
      <w:pPr>
        <w:ind w:firstLine="360" w:firstLineChars="200"/>
        <w:rPr>
          <w:rFonts w:hint="eastAsia" w:ascii="宋体" w:hAnsi="宋体" w:cs="仿宋"/>
          <w:sz w:val="18"/>
          <w:szCs w:val="18"/>
        </w:rPr>
      </w:pPr>
      <w:r>
        <w:rPr>
          <w:rFonts w:hint="eastAsia" w:ascii="宋体" w:hAnsi="宋体" w:cs="仿宋"/>
          <w:sz w:val="18"/>
          <w:szCs w:val="18"/>
        </w:rPr>
        <w:t>除《政府采购法》第50条第二款规定的情形外，本合同一经签订，甲乙双方不得擅自变更、中止或终止合同。除发生法律规定的不能预见、不能避免并不能克服的客观情况外，甲乙双方不得放弃或拒绝履行合同。乙方放弃或拒绝履行合同，按合同总价的30%承担违约责任，同时将被列入我院采购黑名单。</w:t>
      </w:r>
    </w:p>
    <w:p w14:paraId="3C822192">
      <w:pPr>
        <w:ind w:firstLine="360" w:firstLineChars="200"/>
        <w:rPr>
          <w:rFonts w:hint="eastAsia" w:ascii="宋体" w:hAnsi="宋体" w:cs="仿宋"/>
          <w:sz w:val="18"/>
          <w:szCs w:val="18"/>
        </w:rPr>
      </w:pPr>
      <w:r>
        <w:rPr>
          <w:rFonts w:hint="eastAsia" w:ascii="宋体" w:hAnsi="宋体" w:cs="仿宋"/>
          <w:sz w:val="18"/>
          <w:szCs w:val="18"/>
        </w:rPr>
        <w:t xml:space="preserve">第十条 合同的转让   </w:t>
      </w:r>
    </w:p>
    <w:p w14:paraId="674EA465">
      <w:pPr>
        <w:ind w:firstLine="360" w:firstLineChars="200"/>
        <w:rPr>
          <w:rFonts w:hint="eastAsia" w:ascii="宋体" w:hAnsi="宋体" w:cs="仿宋"/>
          <w:sz w:val="18"/>
          <w:szCs w:val="18"/>
        </w:rPr>
      </w:pPr>
      <w:r>
        <w:rPr>
          <w:rFonts w:hint="eastAsia" w:ascii="宋体" w:hAnsi="宋体" w:cs="仿宋"/>
          <w:sz w:val="18"/>
          <w:szCs w:val="18"/>
        </w:rPr>
        <w:t>乙方不得擅自部分或全部转让其应履行的合同义务。</w:t>
      </w:r>
    </w:p>
    <w:p w14:paraId="4F05A609">
      <w:pPr>
        <w:ind w:firstLine="360" w:firstLineChars="200"/>
        <w:rPr>
          <w:rFonts w:hint="eastAsia" w:ascii="宋体" w:hAnsi="宋体" w:cs="仿宋"/>
          <w:sz w:val="18"/>
          <w:szCs w:val="18"/>
        </w:rPr>
      </w:pPr>
      <w:r>
        <w:rPr>
          <w:rFonts w:hint="eastAsia" w:ascii="宋体" w:hAnsi="宋体" w:cs="仿宋"/>
          <w:sz w:val="18"/>
          <w:szCs w:val="18"/>
        </w:rPr>
        <w:t xml:space="preserve">第十一条 争议的解决   </w:t>
      </w:r>
    </w:p>
    <w:p w14:paraId="26BF7DF7">
      <w:pPr>
        <w:ind w:firstLine="360" w:firstLineChars="200"/>
        <w:rPr>
          <w:rFonts w:hint="eastAsia" w:ascii="宋体" w:hAnsi="宋体" w:cs="仿宋"/>
          <w:sz w:val="18"/>
          <w:szCs w:val="18"/>
        </w:rPr>
      </w:pPr>
      <w:r>
        <w:rPr>
          <w:rFonts w:hint="eastAsia" w:ascii="宋体" w:hAnsi="宋体" w:cs="仿宋"/>
          <w:sz w:val="18"/>
          <w:szCs w:val="18"/>
        </w:rPr>
        <w:t>因履行本合同引起的或与本合同有关的争议，甲、乙双方应首先通过友好协商解决，如果协商不能解决争议，可向甲方所在地有管辖权的人民法院提起诉讼。在诉讼期间，本合同应继续履行。</w:t>
      </w:r>
    </w:p>
    <w:p w14:paraId="1B502647">
      <w:pPr>
        <w:ind w:firstLine="360" w:firstLineChars="200"/>
        <w:rPr>
          <w:rFonts w:hint="eastAsia" w:ascii="宋体" w:hAnsi="宋体" w:cs="仿宋"/>
          <w:sz w:val="18"/>
          <w:szCs w:val="18"/>
        </w:rPr>
      </w:pPr>
      <w:r>
        <w:rPr>
          <w:rFonts w:hint="eastAsia" w:ascii="宋体" w:hAnsi="宋体" w:cs="仿宋"/>
          <w:sz w:val="18"/>
          <w:szCs w:val="18"/>
        </w:rPr>
        <w:t xml:space="preserve">第十二条 诚实信用   </w:t>
      </w:r>
    </w:p>
    <w:p w14:paraId="6CD93873">
      <w:pPr>
        <w:ind w:firstLine="360" w:firstLineChars="200"/>
        <w:rPr>
          <w:rFonts w:hint="eastAsia" w:ascii="宋体" w:hAnsi="宋体" w:cs="仿宋"/>
          <w:sz w:val="18"/>
          <w:szCs w:val="18"/>
        </w:rPr>
      </w:pPr>
      <w:r>
        <w:rPr>
          <w:rFonts w:hint="eastAsia" w:ascii="宋体" w:hAnsi="宋体" w:cs="仿宋"/>
          <w:sz w:val="18"/>
          <w:szCs w:val="18"/>
        </w:rPr>
        <w:t>乙方应诚实信用，严格按照采购要求和承诺履行合同，不向甲方进行商业贿赂或者提供不正当利益。凡乙方有诚信档案不良记录的，甲方可无条件终止合同。一旦出现侵权，由乙方负全部责任。乙方应加强对其指定的销售代表等人员的管理，如乙方出现商业贿赂等不良行为将被记入诚信档案，一经发现，甲方有权无条件终止合同，并向有关部门上报。</w:t>
      </w:r>
    </w:p>
    <w:p w14:paraId="645778A1">
      <w:pPr>
        <w:ind w:firstLine="360" w:firstLineChars="200"/>
        <w:rPr>
          <w:rFonts w:hint="eastAsia" w:ascii="宋体" w:hAnsi="宋体" w:cs="仿宋"/>
          <w:sz w:val="18"/>
          <w:szCs w:val="18"/>
        </w:rPr>
      </w:pPr>
      <w:r>
        <w:rPr>
          <w:rFonts w:hint="eastAsia" w:ascii="宋体" w:hAnsi="宋体" w:cs="仿宋"/>
          <w:sz w:val="18"/>
          <w:szCs w:val="18"/>
        </w:rPr>
        <w:t xml:space="preserve">第十三条 合同生效及其他 </w:t>
      </w:r>
    </w:p>
    <w:p w14:paraId="0ABBA536">
      <w:pPr>
        <w:ind w:firstLine="360" w:firstLineChars="200"/>
        <w:rPr>
          <w:rFonts w:hint="eastAsia" w:ascii="宋体" w:hAnsi="宋体" w:cs="仿宋"/>
          <w:sz w:val="18"/>
          <w:szCs w:val="18"/>
        </w:rPr>
      </w:pPr>
      <w:r>
        <w:rPr>
          <w:rFonts w:hint="eastAsia" w:ascii="宋体" w:hAnsi="宋体" w:cs="仿宋"/>
          <w:sz w:val="18"/>
          <w:szCs w:val="18"/>
        </w:rPr>
        <w:t>本合同经双方法定代表人或授权委托代表人签字或签章并加盖单位公章后生效。本合同正本一式四份，具有同等法律效力，甲方执三份，乙方执一份。本合同未尽事宜，遵照《民法典》有关条文执行。（以下无正文）</w:t>
      </w:r>
    </w:p>
    <w:p w14:paraId="5BBDD199">
      <w:pPr>
        <w:ind w:firstLine="360" w:firstLineChars="200"/>
        <w:rPr>
          <w:rFonts w:hint="eastAsia" w:ascii="宋体" w:hAnsi="宋体" w:cs="仿宋"/>
          <w:sz w:val="18"/>
          <w:szCs w:val="18"/>
        </w:rPr>
      </w:pPr>
      <w:r>
        <w:rPr>
          <w:rFonts w:hint="eastAsia" w:ascii="宋体" w:hAnsi="宋体" w:cs="仿宋"/>
          <w:sz w:val="18"/>
          <w:szCs w:val="18"/>
        </w:rPr>
        <w:t>甲    方：（盖章）南京市溧水区人民医院     乙    方：（盖章）</w:t>
      </w:r>
    </w:p>
    <w:p w14:paraId="1C1EB147">
      <w:pPr>
        <w:ind w:firstLine="360" w:firstLineChars="200"/>
        <w:rPr>
          <w:rFonts w:hint="eastAsia" w:ascii="宋体" w:hAnsi="宋体" w:cs="仿宋"/>
          <w:sz w:val="18"/>
          <w:szCs w:val="18"/>
        </w:rPr>
      </w:pPr>
      <w:r>
        <w:rPr>
          <w:rFonts w:hint="eastAsia" w:ascii="宋体" w:hAnsi="宋体" w:cs="仿宋"/>
          <w:sz w:val="18"/>
          <w:szCs w:val="18"/>
        </w:rPr>
        <w:t>代 表 人：                                 代 表 人：</w:t>
      </w:r>
    </w:p>
    <w:p w14:paraId="6083AA56">
      <w:pPr>
        <w:ind w:firstLine="360" w:firstLineChars="200"/>
        <w:rPr>
          <w:rFonts w:hint="eastAsia" w:ascii="宋体" w:hAnsi="宋体" w:cs="仿宋"/>
          <w:sz w:val="18"/>
          <w:szCs w:val="18"/>
        </w:rPr>
      </w:pPr>
      <w:r>
        <w:rPr>
          <w:rFonts w:hint="eastAsia" w:ascii="宋体" w:hAnsi="宋体" w:cs="仿宋"/>
          <w:sz w:val="18"/>
          <w:szCs w:val="18"/>
        </w:rPr>
        <w:t>纳税人识别号：12320124426070487L           纳税人识别号：</w:t>
      </w:r>
    </w:p>
    <w:p w14:paraId="362A9244">
      <w:pPr>
        <w:ind w:firstLine="360" w:firstLineChars="200"/>
        <w:rPr>
          <w:rFonts w:hint="eastAsia" w:ascii="宋体" w:hAnsi="宋体" w:cs="仿宋"/>
          <w:sz w:val="18"/>
          <w:szCs w:val="18"/>
        </w:rPr>
      </w:pPr>
      <w:r>
        <w:rPr>
          <w:rFonts w:hint="eastAsia" w:ascii="宋体" w:hAnsi="宋体" w:cs="仿宋"/>
          <w:sz w:val="18"/>
          <w:szCs w:val="18"/>
        </w:rPr>
        <w:t>开 户 行： 建行溧水支行                    开 户 行：</w:t>
      </w:r>
    </w:p>
    <w:p w14:paraId="1A39F932">
      <w:pPr>
        <w:ind w:firstLine="360" w:firstLineChars="200"/>
        <w:rPr>
          <w:rFonts w:hint="eastAsia" w:ascii="宋体" w:hAnsi="宋体" w:cs="仿宋"/>
          <w:sz w:val="18"/>
          <w:szCs w:val="18"/>
        </w:rPr>
      </w:pPr>
      <w:r>
        <w:rPr>
          <w:rFonts w:hint="eastAsia" w:ascii="宋体" w:hAnsi="宋体" w:cs="仿宋"/>
          <w:sz w:val="18"/>
          <w:szCs w:val="18"/>
        </w:rPr>
        <w:t>账    号：32001596336050001892             账    号：</w:t>
      </w:r>
    </w:p>
    <w:p w14:paraId="3D19B95F">
      <w:pPr>
        <w:ind w:firstLine="360" w:firstLineChars="200"/>
        <w:rPr>
          <w:rFonts w:hint="eastAsia" w:ascii="宋体" w:hAnsi="宋体" w:cs="仿宋"/>
          <w:sz w:val="18"/>
          <w:szCs w:val="18"/>
        </w:rPr>
      </w:pPr>
      <w:r>
        <w:rPr>
          <w:rFonts w:hint="eastAsia" w:ascii="宋体" w:hAnsi="宋体" w:cs="仿宋"/>
          <w:sz w:val="18"/>
          <w:szCs w:val="18"/>
        </w:rPr>
        <w:t>电    话：                                 电    话：</w:t>
      </w:r>
    </w:p>
    <w:p w14:paraId="1AF09192">
      <w:pPr>
        <w:ind w:firstLine="540"/>
        <w:jc w:val="left"/>
      </w:pPr>
      <w:r>
        <w:rPr>
          <w:rFonts w:hint="eastAsia" w:ascii="宋体" w:hAnsi="宋体" w:cs="仿宋"/>
          <w:sz w:val="18"/>
          <w:szCs w:val="18"/>
        </w:rPr>
        <w:t>签约日期：                               签约日期：</w:t>
      </w:r>
      <w:r>
        <w:rPr>
          <w:rFonts w:hint="eastAsia"/>
        </w:rPr>
        <w:t xml:space="preserve">                       </w:t>
      </w:r>
    </w:p>
    <w:p w14:paraId="70DF9084">
      <w:pPr>
        <w:spacing w:line="240" w:lineRule="auto"/>
        <w:rPr>
          <w:rFonts w:hint="eastAsia" w:ascii="宋体" w:hAnsi="宋体" w:eastAsia="宋体" w:cs="宋体"/>
          <w:color w:val="000000"/>
          <w:sz w:val="21"/>
          <w:szCs w:val="21"/>
          <w:highlight w:val="none"/>
        </w:rPr>
      </w:pPr>
      <w:r>
        <w:rPr>
          <w:rFonts w:hint="eastAsia" w:eastAsia="宋体"/>
          <w:lang w:eastAsia="zh-CN"/>
        </w:rPr>
        <w:t>附件：</w:t>
      </w:r>
      <w:r>
        <w:rPr>
          <w:rFonts w:hint="eastAsia"/>
        </w:rPr>
        <w:t>配置清单</w:t>
      </w:r>
    </w:p>
    <w:p w14:paraId="22C509C3">
      <w:pPr>
        <w:pStyle w:val="3"/>
        <w:spacing w:line="240" w:lineRule="auto"/>
        <w:ind w:firstLine="3373" w:firstLineChars="1200"/>
        <w:rPr>
          <w:rFonts w:hint="eastAsia" w:ascii="宋体" w:hAnsi="宋体" w:cs="宋体"/>
          <w:color w:val="000000"/>
          <w:szCs w:val="28"/>
          <w:highlight w:val="none"/>
          <w:lang w:val="zh-CN"/>
        </w:rPr>
      </w:pPr>
      <w:r>
        <w:rPr>
          <w:rFonts w:hint="eastAsia" w:ascii="宋体" w:hAnsi="宋体" w:eastAsia="宋体" w:cs="宋体"/>
          <w:bCs/>
          <w:color w:val="000000"/>
          <w:szCs w:val="28"/>
          <w:highlight w:val="none"/>
          <w:lang w:val="zh-CN"/>
        </w:rPr>
        <w:t xml:space="preserve">第六部分 </w:t>
      </w:r>
      <w:r>
        <w:rPr>
          <w:rFonts w:hint="eastAsia" w:ascii="宋体" w:hAnsi="宋体" w:eastAsia="宋体" w:cs="宋体"/>
          <w:bCs/>
          <w:color w:val="000000"/>
          <w:szCs w:val="28"/>
          <w:highlight w:val="none"/>
        </w:rPr>
        <w:t xml:space="preserve"> </w:t>
      </w:r>
      <w:r>
        <w:rPr>
          <w:rFonts w:hint="eastAsia" w:ascii="宋体" w:hAnsi="宋体" w:eastAsia="宋体" w:cs="宋体"/>
          <w:bCs/>
          <w:color w:val="000000"/>
          <w:szCs w:val="28"/>
          <w:highlight w:val="none"/>
          <w:lang w:val="zh-CN"/>
        </w:rPr>
        <w:t>投标文件格式及附件</w:t>
      </w:r>
      <w:r>
        <w:rPr>
          <w:rFonts w:hint="eastAsia" w:ascii="宋体" w:hAnsi="宋体" w:cs="宋体"/>
          <w:color w:val="000000"/>
          <w:szCs w:val="28"/>
          <w:highlight w:val="none"/>
        </w:rPr>
        <w:t xml:space="preserve">  </w:t>
      </w:r>
    </w:p>
    <w:p w14:paraId="7C14476B">
      <w:pPr>
        <w:numPr>
          <w:ilvl w:val="0"/>
          <w:numId w:val="8"/>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本部分内容仅提供格式参考。</w:t>
      </w:r>
    </w:p>
    <w:p w14:paraId="3104BBF3">
      <w:pPr>
        <w:numPr>
          <w:ilvl w:val="0"/>
          <w:numId w:val="8"/>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供应商应按照以下文件的要求、格式、内容制作投标文件，并编制目录及页码，混乱的编排导致投标文件被误读或查找不到，后果由供应商承担。</w:t>
      </w:r>
    </w:p>
    <w:p w14:paraId="1DAB184B">
      <w:pPr>
        <w:numPr>
          <w:ilvl w:val="0"/>
          <w:numId w:val="8"/>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所附表格中要求回答的全部问题和信息都必须正面回答。</w:t>
      </w:r>
    </w:p>
    <w:p w14:paraId="47CFC5DE">
      <w:pPr>
        <w:numPr>
          <w:ilvl w:val="0"/>
          <w:numId w:val="8"/>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供应商提交的材料不予退还。</w:t>
      </w:r>
    </w:p>
    <w:p w14:paraId="08E6C093">
      <w:pPr>
        <w:numPr>
          <w:ilvl w:val="0"/>
          <w:numId w:val="8"/>
        </w:numPr>
        <w:autoSpaceDE w:val="0"/>
        <w:autoSpaceDN w:val="0"/>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全部文件应按供应商须知以及前附表中规定的语言和份数提交。</w:t>
      </w:r>
    </w:p>
    <w:p w14:paraId="17768299">
      <w:pPr>
        <w:numPr>
          <w:ilvl w:val="0"/>
          <w:numId w:val="8"/>
        </w:numPr>
        <w:autoSpaceDE w:val="0"/>
        <w:autoSpaceDN w:val="0"/>
        <w:adjustRightInd w:val="0"/>
        <w:spacing w:line="240" w:lineRule="auto"/>
        <w:rPr>
          <w:rFonts w:hint="eastAsia" w:ascii="宋体" w:hAnsi="宋体"/>
          <w:b/>
          <w:bCs/>
          <w:color w:val="000000"/>
          <w:sz w:val="18"/>
          <w:szCs w:val="18"/>
          <w:highlight w:val="none"/>
        </w:rPr>
      </w:pPr>
      <w:r>
        <w:rPr>
          <w:rFonts w:hint="eastAsia" w:ascii="宋体" w:hAnsi="宋体" w:cs="宋体"/>
          <w:b/>
          <w:color w:val="000000"/>
          <w:sz w:val="18"/>
          <w:szCs w:val="18"/>
          <w:highlight w:val="none"/>
        </w:rPr>
        <w:t>投标文件应按照投标文件格式逐项填写，无相应内容可填的项应填写“无”“未测试”“没有相应指标”等明确的回答文字</w:t>
      </w:r>
    </w:p>
    <w:p w14:paraId="387CEE17">
      <w:pPr>
        <w:keepNext/>
        <w:keepLines/>
        <w:snapToGrid w:val="0"/>
        <w:spacing w:before="120" w:beforeLines="50" w:after="260" w:line="240" w:lineRule="auto"/>
        <w:ind w:firstLine="3253" w:firstLineChars="1800"/>
        <w:outlineLvl w:val="1"/>
        <w:rPr>
          <w:rFonts w:hint="eastAsia" w:ascii="宋体" w:hAnsi="宋体"/>
          <w:b/>
          <w:bCs/>
          <w:color w:val="000000"/>
          <w:sz w:val="18"/>
          <w:szCs w:val="18"/>
          <w:highlight w:val="none"/>
        </w:rPr>
      </w:pPr>
      <w:r>
        <w:rPr>
          <w:rFonts w:hint="eastAsia" w:ascii="宋体" w:hAnsi="宋体"/>
          <w:b/>
          <w:bCs/>
          <w:color w:val="000000"/>
          <w:sz w:val="18"/>
          <w:szCs w:val="18"/>
          <w:highlight w:val="none"/>
        </w:rPr>
        <w:t>资格审查表</w:t>
      </w:r>
    </w:p>
    <w:tbl>
      <w:tblPr>
        <w:tblStyle w:val="8"/>
        <w:tblW w:w="10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7"/>
        <w:gridCol w:w="2325"/>
      </w:tblGrid>
      <w:tr w14:paraId="02D5C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2BC6BF46">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bidi="en-US"/>
              </w:rPr>
              <w:t>资格审查</w:t>
            </w:r>
            <w:r>
              <w:rPr>
                <w:rFonts w:hint="eastAsia" w:ascii="宋体" w:hAnsi="宋体"/>
                <w:b/>
                <w:color w:val="000000"/>
                <w:kern w:val="0"/>
                <w:sz w:val="18"/>
                <w:szCs w:val="18"/>
                <w:highlight w:val="none"/>
                <w:lang w:eastAsia="en-US" w:bidi="en-US"/>
              </w:rPr>
              <w:t>项目</w:t>
            </w:r>
          </w:p>
        </w:tc>
        <w:tc>
          <w:tcPr>
            <w:tcW w:w="2325" w:type="dxa"/>
          </w:tcPr>
          <w:p w14:paraId="02A4AEE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w w:val="66"/>
                <w:sz w:val="18"/>
                <w:szCs w:val="18"/>
                <w:highlight w:val="none"/>
              </w:rPr>
              <w:t>证明材料在响应文件中的页码位置</w:t>
            </w:r>
          </w:p>
        </w:tc>
      </w:tr>
      <w:tr w14:paraId="06D4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97" w:type="dxa"/>
          </w:tcPr>
          <w:p w14:paraId="5F5BDEAB">
            <w:pPr>
              <w:widowControl/>
              <w:adjustRightInd w:val="0"/>
              <w:snapToGrid w:val="0"/>
              <w:spacing w:line="240" w:lineRule="auto"/>
              <w:jc w:val="left"/>
              <w:rPr>
                <w:rFonts w:hint="eastAsia" w:ascii="宋体" w:hAnsi="宋体" w:cs="宋体"/>
                <w:color w:val="000000"/>
                <w:w w:val="50"/>
                <w:sz w:val="18"/>
                <w:szCs w:val="18"/>
                <w:highlight w:val="none"/>
              </w:rPr>
            </w:pPr>
            <w:r>
              <w:rPr>
                <w:rFonts w:hint="eastAsia" w:ascii="宋体" w:hAnsi="宋体" w:cs="宋体"/>
                <w:color w:val="000000"/>
                <w:w w:val="50"/>
                <w:sz w:val="18"/>
                <w:szCs w:val="18"/>
                <w:highlight w:val="none"/>
              </w:rPr>
              <w:t>（1）具有独立承担民事责任的能力（</w:t>
            </w:r>
            <w:r>
              <w:rPr>
                <w:rFonts w:hint="eastAsia" w:ascii="宋体" w:hAnsi="宋体" w:cs="宋体"/>
                <w:color w:val="000000"/>
                <w:w w:val="50"/>
                <w:sz w:val="18"/>
                <w:szCs w:val="18"/>
                <w:highlight w:val="none"/>
                <w:lang w:val="zh-CN"/>
              </w:rPr>
              <w:t>提供法人或者其他组织的营业执照和自然人的身份证明）</w:t>
            </w:r>
            <w:r>
              <w:rPr>
                <w:rFonts w:hint="eastAsia" w:ascii="宋体" w:hAnsi="宋体" w:cs="宋体"/>
                <w:color w:val="000000"/>
                <w:w w:val="50"/>
                <w:sz w:val="18"/>
                <w:szCs w:val="18"/>
                <w:highlight w:val="none"/>
              </w:rPr>
              <w:t>；</w:t>
            </w:r>
          </w:p>
        </w:tc>
        <w:tc>
          <w:tcPr>
            <w:tcW w:w="2325" w:type="dxa"/>
          </w:tcPr>
          <w:p w14:paraId="627A3F20">
            <w:pPr>
              <w:snapToGrid w:val="0"/>
              <w:spacing w:line="240" w:lineRule="auto"/>
              <w:rPr>
                <w:rFonts w:hint="eastAsia" w:ascii="宋体" w:hAnsi="宋体"/>
                <w:b/>
                <w:color w:val="000000"/>
                <w:kern w:val="0"/>
                <w:sz w:val="18"/>
                <w:szCs w:val="18"/>
                <w:highlight w:val="none"/>
                <w:lang w:bidi="en-US"/>
              </w:rPr>
            </w:pPr>
          </w:p>
        </w:tc>
      </w:tr>
      <w:tr w14:paraId="0EF9F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597" w:type="dxa"/>
          </w:tcPr>
          <w:p w14:paraId="236164F2">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（2）具有良好的商业信誉和健全的财务会计制度（提供参加本次政府采购活动前近一年内（至少一个月）的会计报表），或提供南京市政府采购供应商信用记录表暨信用承诺书原件；</w:t>
            </w:r>
          </w:p>
        </w:tc>
        <w:tc>
          <w:tcPr>
            <w:tcW w:w="2325" w:type="dxa"/>
          </w:tcPr>
          <w:p w14:paraId="6A6A66E3">
            <w:pPr>
              <w:snapToGrid w:val="0"/>
              <w:spacing w:line="240" w:lineRule="auto"/>
              <w:rPr>
                <w:rFonts w:hint="eastAsia" w:ascii="宋体" w:hAnsi="宋体"/>
                <w:color w:val="000000"/>
                <w:sz w:val="18"/>
                <w:szCs w:val="18"/>
                <w:highlight w:val="none"/>
              </w:rPr>
            </w:pPr>
          </w:p>
        </w:tc>
      </w:tr>
      <w:tr w14:paraId="4485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27806044">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（3）具有履行合同所必需的设备和专业技术能力（根据项目需求提供相应的专业设备说明、技术管理人员情况申明、专业技术资质等），或提供南京市政府采购供应商信用记录表暨信用承诺书原件；</w:t>
            </w:r>
          </w:p>
        </w:tc>
        <w:tc>
          <w:tcPr>
            <w:tcW w:w="2325" w:type="dxa"/>
          </w:tcPr>
          <w:p w14:paraId="02F9CEF9">
            <w:pPr>
              <w:snapToGrid w:val="0"/>
              <w:spacing w:line="240" w:lineRule="auto"/>
              <w:rPr>
                <w:rFonts w:hint="eastAsia" w:ascii="宋体" w:hAnsi="宋体"/>
                <w:color w:val="000000"/>
                <w:sz w:val="18"/>
                <w:szCs w:val="18"/>
                <w:highlight w:val="none"/>
              </w:rPr>
            </w:pPr>
          </w:p>
        </w:tc>
      </w:tr>
      <w:tr w14:paraId="36D79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597" w:type="dxa"/>
          </w:tcPr>
          <w:p w14:paraId="5DB31B3F">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（4）有依法缴纳税收和社会保障资金的良好记录（提供参加政府采购活动前近一年内至少一个月依法缴纳税收和社会保障资金的相关材料），或提供南京市政府采购供应商信用记录表暨信用承诺书原件；</w:t>
            </w:r>
          </w:p>
        </w:tc>
        <w:tc>
          <w:tcPr>
            <w:tcW w:w="2325" w:type="dxa"/>
          </w:tcPr>
          <w:p w14:paraId="3B2934B3">
            <w:pPr>
              <w:snapToGrid w:val="0"/>
              <w:spacing w:line="240" w:lineRule="auto"/>
              <w:rPr>
                <w:rFonts w:hint="eastAsia" w:ascii="宋体" w:hAnsi="宋体"/>
                <w:color w:val="000000"/>
                <w:sz w:val="18"/>
                <w:szCs w:val="18"/>
                <w:highlight w:val="none"/>
              </w:rPr>
            </w:pPr>
          </w:p>
        </w:tc>
      </w:tr>
      <w:tr w14:paraId="4CAB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07E2FA8E">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（5）参加政府采购活动前三年内，在经营活动中没有重大违法记录（提供参加本次政府采购活动前3年内在经营活动中没有重大违法记录的书面声明）；</w:t>
            </w:r>
          </w:p>
        </w:tc>
        <w:tc>
          <w:tcPr>
            <w:tcW w:w="2325" w:type="dxa"/>
          </w:tcPr>
          <w:p w14:paraId="29B2D53B">
            <w:pPr>
              <w:snapToGrid w:val="0"/>
              <w:spacing w:line="240" w:lineRule="auto"/>
              <w:rPr>
                <w:rFonts w:hint="eastAsia" w:ascii="宋体" w:hAnsi="宋体"/>
                <w:color w:val="000000"/>
                <w:sz w:val="18"/>
                <w:szCs w:val="18"/>
                <w:highlight w:val="none"/>
              </w:rPr>
            </w:pPr>
          </w:p>
        </w:tc>
      </w:tr>
      <w:tr w14:paraId="0AE60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57877484">
            <w:pPr>
              <w:widowControl/>
              <w:numPr>
                <w:ilvl w:val="0"/>
                <w:numId w:val="9"/>
              </w:numPr>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本项目的特定资格要求：</w:t>
            </w:r>
          </w:p>
          <w:p w14:paraId="028DE305">
            <w:pPr>
              <w:widowControl/>
              <w:adjustRightInd w:val="0"/>
              <w:snapToGrid w:val="0"/>
              <w:spacing w:line="240" w:lineRule="auto"/>
              <w:jc w:val="left"/>
              <w:rPr>
                <w:color w:val="000000"/>
                <w:w w:val="66"/>
                <w:sz w:val="18"/>
                <w:szCs w:val="16"/>
                <w:highlight w:val="none"/>
              </w:rPr>
            </w:pPr>
            <w:r>
              <w:rPr>
                <w:rFonts w:hint="eastAsia" w:ascii="宋体" w:hAnsi="宋体" w:cs="宋体"/>
                <w:color w:val="000000"/>
                <w:w w:val="66"/>
                <w:sz w:val="18"/>
                <w:szCs w:val="18"/>
                <w:highlight w:val="none"/>
              </w:rPr>
              <w:t>医疗器械注册证、供应商需提供医疗器械经营许可证，若投标供应商为生产商，须提供《医疗器械生产许可证》。</w:t>
            </w:r>
          </w:p>
        </w:tc>
        <w:tc>
          <w:tcPr>
            <w:tcW w:w="2325" w:type="dxa"/>
          </w:tcPr>
          <w:p w14:paraId="184ADBFC">
            <w:pPr>
              <w:snapToGrid w:val="0"/>
              <w:spacing w:line="240" w:lineRule="auto"/>
              <w:rPr>
                <w:rFonts w:hint="eastAsia" w:ascii="宋体" w:hAnsi="宋体"/>
                <w:color w:val="000000"/>
                <w:sz w:val="18"/>
                <w:szCs w:val="18"/>
                <w:highlight w:val="none"/>
              </w:rPr>
            </w:pPr>
          </w:p>
        </w:tc>
      </w:tr>
      <w:tr w14:paraId="5D120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97" w:type="dxa"/>
          </w:tcPr>
          <w:p w14:paraId="360BF6A6">
            <w:pPr>
              <w:widowControl/>
              <w:adjustRightInd w:val="0"/>
              <w:snapToGrid w:val="0"/>
              <w:spacing w:line="240" w:lineRule="auto"/>
              <w:jc w:val="left"/>
              <w:rPr>
                <w:rFonts w:hint="eastAsia" w:ascii="宋体" w:hAnsi="宋体" w:cs="宋体"/>
                <w:color w:val="000000"/>
                <w:w w:val="66"/>
                <w:sz w:val="18"/>
                <w:szCs w:val="18"/>
                <w:highlight w:val="none"/>
              </w:rPr>
            </w:pPr>
            <w:r>
              <w:rPr>
                <w:rFonts w:hint="eastAsia" w:ascii="宋体" w:hAnsi="宋体" w:cs="宋体"/>
                <w:color w:val="000000"/>
                <w:w w:val="66"/>
                <w:sz w:val="18"/>
                <w:szCs w:val="18"/>
                <w:highlight w:val="none"/>
              </w:rPr>
              <w:t>（7）提供</w:t>
            </w:r>
            <w:r>
              <w:rPr>
                <w:rFonts w:hint="eastAsia" w:ascii="宋体" w:hAnsi="宋体" w:cs="宋体"/>
                <w:color w:val="000000"/>
                <w:w w:val="66"/>
                <w:sz w:val="18"/>
                <w:szCs w:val="18"/>
                <w:highlight w:val="none"/>
                <w:lang w:val="zh-CN"/>
              </w:rPr>
              <w:t>法定代表人身份证复印件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，如果是委托被授权人参加现场开标，还需提供</w:t>
            </w:r>
            <w:r>
              <w:rPr>
                <w:rFonts w:hint="eastAsia" w:ascii="宋体" w:hAnsi="宋体" w:cs="宋体"/>
                <w:color w:val="000000"/>
                <w:w w:val="66"/>
                <w:sz w:val="18"/>
                <w:szCs w:val="18"/>
                <w:highlight w:val="none"/>
              </w:rPr>
              <w:t>法定代表人授权书并加盖投标单位公章、</w:t>
            </w:r>
            <w:r>
              <w:rPr>
                <w:rFonts w:hint="eastAsia" w:ascii="宋体" w:hAnsi="宋体" w:cs="宋体"/>
                <w:color w:val="000000"/>
                <w:w w:val="66"/>
                <w:sz w:val="18"/>
                <w:szCs w:val="18"/>
                <w:highlight w:val="none"/>
                <w:lang w:val="zh-CN"/>
              </w:rPr>
              <w:t>被授权人身份证复印件</w:t>
            </w:r>
            <w:r>
              <w:rPr>
                <w:rFonts w:hint="eastAsia" w:ascii="宋体" w:hAnsi="宋体" w:cs="宋体"/>
                <w:color w:val="000000"/>
                <w:w w:val="66"/>
                <w:sz w:val="18"/>
                <w:szCs w:val="18"/>
                <w:highlight w:val="none"/>
              </w:rPr>
              <w:t>并加盖投标单位公章</w:t>
            </w:r>
            <w:r>
              <w:rPr>
                <w:rFonts w:hint="eastAsia" w:ascii="宋体" w:hAnsi="宋体" w:cs="宋体"/>
                <w:color w:val="000000"/>
                <w:w w:val="66"/>
                <w:sz w:val="18"/>
                <w:szCs w:val="18"/>
                <w:highlight w:val="none"/>
                <w:lang w:val="zh-CN"/>
              </w:rPr>
              <w:t>。（格式详见附件）</w:t>
            </w:r>
          </w:p>
        </w:tc>
        <w:tc>
          <w:tcPr>
            <w:tcW w:w="2325" w:type="dxa"/>
          </w:tcPr>
          <w:p w14:paraId="040208A3">
            <w:pPr>
              <w:snapToGrid w:val="0"/>
              <w:spacing w:line="240" w:lineRule="auto"/>
              <w:rPr>
                <w:rFonts w:hint="eastAsia" w:ascii="宋体" w:hAnsi="宋体"/>
                <w:color w:val="000000"/>
                <w:sz w:val="18"/>
                <w:szCs w:val="18"/>
                <w:highlight w:val="none"/>
              </w:rPr>
            </w:pPr>
          </w:p>
        </w:tc>
      </w:tr>
    </w:tbl>
    <w:p w14:paraId="18F8338F">
      <w:pPr>
        <w:pStyle w:val="5"/>
        <w:spacing w:line="240" w:lineRule="auto"/>
        <w:ind w:left="0"/>
        <w:rPr>
          <w:rFonts w:hint="eastAsia" w:ascii="宋体" w:hAnsi="宋体"/>
          <w:b/>
          <w:bCs/>
          <w:color w:val="000000"/>
          <w:sz w:val="18"/>
          <w:szCs w:val="18"/>
          <w:highlight w:val="none"/>
        </w:rPr>
      </w:pPr>
      <w:r>
        <w:rPr>
          <w:rFonts w:hint="eastAsia"/>
          <w:color w:val="000000"/>
          <w:sz w:val="18"/>
          <w:szCs w:val="18"/>
          <w:highlight w:val="none"/>
        </w:rPr>
        <w:t>注：根据《磋商邀请》内二、供应商资质要求，逐条响应。</w:t>
      </w:r>
    </w:p>
    <w:p w14:paraId="04DEC25B">
      <w:pPr>
        <w:spacing w:line="240" w:lineRule="auto"/>
        <w:jc w:val="center"/>
        <w:rPr>
          <w:rFonts w:hint="eastAsia" w:ascii="Times New Roman" w:eastAsia="宋体"/>
          <w:color w:val="000000"/>
          <w:sz w:val="21"/>
          <w:szCs w:val="21"/>
          <w:highlight w:val="none"/>
          <w:lang w:eastAsia="zh-CN"/>
        </w:rPr>
      </w:pPr>
      <w:r>
        <w:rPr>
          <w:rFonts w:hint="eastAsia" w:hAnsi="宋体"/>
          <w:b/>
          <w:bCs w:val="0"/>
          <w:color w:val="000000"/>
          <w:sz w:val="21"/>
          <w:szCs w:val="21"/>
          <w:highlight w:val="none"/>
        </w:rPr>
        <w:t>南京市政府采购供应商信用记录表暨信用承诺书</w:t>
      </w:r>
      <w:r>
        <w:rPr>
          <w:rFonts w:hint="eastAsia" w:hAnsi="宋体"/>
          <w:b/>
          <w:bCs w:val="0"/>
          <w:color w:val="000000"/>
          <w:sz w:val="21"/>
          <w:szCs w:val="21"/>
          <w:highlight w:val="none"/>
          <w:lang w:val="en-US" w:eastAsia="zh-CN"/>
        </w:rPr>
        <w:t xml:space="preserve"> </w:t>
      </w:r>
      <w:r>
        <w:rPr>
          <w:rFonts w:hint="eastAsia" w:hAnsi="宋体"/>
          <w:b/>
          <w:bCs w:val="0"/>
          <w:color w:val="000000"/>
          <w:sz w:val="21"/>
          <w:szCs w:val="21"/>
          <w:highlight w:val="none"/>
          <w:lang w:eastAsia="zh-CN"/>
        </w:rPr>
        <w:t>注册登记及在线打印办法：</w:t>
      </w:r>
    </w:p>
    <w:p w14:paraId="3D2959D1">
      <w:pPr>
        <w:spacing w:line="240" w:lineRule="auto"/>
        <w:ind w:firstLine="240" w:firstLineChars="150"/>
        <w:rPr>
          <w:rFonts w:hint="eastAsia" w:hAnsi="宋体"/>
          <w:bCs/>
          <w:color w:val="000000"/>
          <w:sz w:val="16"/>
          <w:szCs w:val="20"/>
          <w:highlight w:val="none"/>
        </w:rPr>
      </w:pPr>
      <w:r>
        <w:rPr>
          <w:rFonts w:hint="eastAsia" w:hAnsi="宋体"/>
          <w:bCs/>
          <w:color w:val="000000"/>
          <w:sz w:val="16"/>
          <w:szCs w:val="20"/>
          <w:highlight w:val="none"/>
        </w:rPr>
        <w:t>根据《南京市政府采购供应商信用管理工作暂行办法》（宁财规[2018]10号）有关规定，凡在南京地区参加政府采购活动的供应商，应当事先登陆“信用南京”（www.njcredit.gov.cn）或”南京公共采购信息网”（https://njgc.jfh.com/）主页“政府采购供应商诚信档案”栏目进行注册登记。由于特殊原因未及时注册的供应商可先行获取采购文件，但必须在提交投标（投标）文件截止日2天前办理登记注册手续。</w:t>
      </w:r>
    </w:p>
    <w:p w14:paraId="766783C2">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供应商申请网上注册的，应当按以下程序进行： </w:t>
      </w:r>
    </w:p>
    <w:p w14:paraId="7C36ABB3">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（1）登陆“信用南京”或“南京市政府采购网”网站，点击“政府采购供应商诚信档案”图标，在弹出的用户登录界面，点击“新用户注册”；</w:t>
      </w:r>
    </w:p>
    <w:p w14:paraId="5865E68A">
      <w:pPr>
        <w:spacing w:line="240" w:lineRule="auto"/>
        <w:rPr>
          <w:rFonts w:hint="eastAsia" w:hAnsi="宋体"/>
          <w:bCs/>
          <w:color w:val="000000"/>
          <w:sz w:val="16"/>
          <w:szCs w:val="20"/>
          <w:highlight w:val="none"/>
        </w:rPr>
      </w:pPr>
      <w:r>
        <w:rPr>
          <w:rFonts w:hint="eastAsia" w:hAnsi="宋体"/>
          <w:bCs/>
          <w:color w:val="000000"/>
          <w:sz w:val="16"/>
          <w:szCs w:val="20"/>
          <w:highlight w:val="none"/>
        </w:rPr>
        <w:t xml:space="preserve">   （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14:paraId="50DDACC2">
      <w:pPr>
        <w:spacing w:line="240" w:lineRule="auto"/>
        <w:rPr>
          <w:rFonts w:hint="eastAsia" w:hAnsi="宋体"/>
          <w:bCs/>
          <w:color w:val="000000"/>
          <w:sz w:val="16"/>
          <w:szCs w:val="20"/>
          <w:highlight w:val="none"/>
        </w:rPr>
      </w:pPr>
      <w:r>
        <w:rPr>
          <w:rFonts w:hint="eastAsia" w:hAnsi="宋体"/>
          <w:bCs/>
          <w:color w:val="000000"/>
          <w:sz w:val="16"/>
          <w:szCs w:val="20"/>
          <w:highlight w:val="none"/>
        </w:rPr>
        <w:t>注册成功后，供应商参加本次政府采购活动时，在采购文件发布之日起至递交响应文件截止日前，应先登录“信用南京”在线打印其“南京市政府采购供应商信用记录表”，经法定代表人签名盖章后作为响应文件的组成部分“南京市政府采购供应商信用记录表”是其参加本次政府采购活动的必备材料。</w:t>
      </w:r>
    </w:p>
    <w:p w14:paraId="2FD4A520">
      <w:pPr>
        <w:spacing w:line="240" w:lineRule="auto"/>
        <w:jc w:val="center"/>
        <w:rPr>
          <w:rFonts w:hint="eastAsia" w:ascii="宋体" w:hAnsi="宋体"/>
          <w:b/>
          <w:bCs/>
          <w:color w:val="000000"/>
          <w:sz w:val="18"/>
          <w:szCs w:val="18"/>
          <w:highlight w:val="none"/>
        </w:rPr>
      </w:pPr>
      <w:r>
        <w:rPr>
          <w:rFonts w:hint="eastAsia" w:ascii="宋体" w:hAnsi="宋体"/>
          <w:b/>
          <w:bCs/>
          <w:color w:val="000000"/>
          <w:sz w:val="18"/>
          <w:szCs w:val="18"/>
          <w:highlight w:val="none"/>
        </w:rPr>
        <w:t>评分索引表</w:t>
      </w:r>
    </w:p>
    <w:tbl>
      <w:tblPr>
        <w:tblStyle w:val="8"/>
        <w:tblW w:w="86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5"/>
        <w:gridCol w:w="4305"/>
      </w:tblGrid>
      <w:tr w14:paraId="190A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4345" w:type="dxa"/>
          </w:tcPr>
          <w:p w14:paraId="0BCF9904">
            <w:pPr>
              <w:widowControl/>
              <w:shd w:val="clear" w:color="auto" w:fill="FFFFFF"/>
              <w:snapToGrid w:val="0"/>
              <w:spacing w:line="240" w:lineRule="auto"/>
              <w:ind w:left="420"/>
              <w:contextualSpacing/>
              <w:jc w:val="center"/>
              <w:rPr>
                <w:rFonts w:hint="eastAsia" w:ascii="宋体" w:hAnsi="宋体"/>
                <w:b/>
                <w:bCs/>
                <w:color w:val="000000"/>
                <w:kern w:val="0"/>
                <w:sz w:val="18"/>
                <w:szCs w:val="18"/>
                <w:highlight w:val="none"/>
                <w:lang w:bidi="en-US"/>
              </w:rPr>
            </w:pPr>
            <w:r>
              <w:rPr>
                <w:rFonts w:hint="eastAsia" w:ascii="宋体" w:hAnsi="宋体"/>
                <w:b/>
                <w:color w:val="000000"/>
                <w:kern w:val="0"/>
                <w:sz w:val="18"/>
                <w:szCs w:val="18"/>
                <w:highlight w:val="none"/>
                <w:lang w:eastAsia="en-US" w:bidi="en-US"/>
              </w:rPr>
              <w:t>评分项目</w:t>
            </w:r>
          </w:p>
        </w:tc>
        <w:tc>
          <w:tcPr>
            <w:tcW w:w="4305" w:type="dxa"/>
          </w:tcPr>
          <w:p w14:paraId="362DE082">
            <w:pPr>
              <w:snapToGrid w:val="0"/>
              <w:spacing w:line="240" w:lineRule="auto"/>
              <w:jc w:val="center"/>
              <w:rPr>
                <w:rFonts w:hint="eastAsia" w:ascii="宋体" w:hAnsi="宋体"/>
                <w:b/>
                <w:color w:val="000000"/>
                <w:sz w:val="18"/>
                <w:szCs w:val="18"/>
                <w:highlight w:val="none"/>
              </w:rPr>
            </w:pPr>
            <w:r>
              <w:rPr>
                <w:rFonts w:hint="eastAsia" w:ascii="幼圆" w:eastAsia="幼圆"/>
                <w:b/>
                <w:color w:val="000000"/>
                <w:sz w:val="18"/>
                <w:szCs w:val="18"/>
                <w:highlight w:val="none"/>
              </w:rPr>
              <w:t>在响应文件中的页码位置</w:t>
            </w:r>
          </w:p>
        </w:tc>
      </w:tr>
      <w:tr w14:paraId="5880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345" w:type="dxa"/>
          </w:tcPr>
          <w:p w14:paraId="46FFCAD1">
            <w:pPr>
              <w:widowControl/>
              <w:shd w:val="clear" w:color="auto" w:fill="FFFFFF"/>
              <w:snapToGrid w:val="0"/>
              <w:spacing w:line="240" w:lineRule="auto"/>
              <w:ind w:left="420"/>
              <w:contextualSpacing/>
              <w:rPr>
                <w:rFonts w:hint="eastAsia" w:ascii="宋体" w:hAnsi="宋体"/>
                <w:b/>
                <w:color w:val="000000"/>
                <w:kern w:val="0"/>
                <w:sz w:val="18"/>
                <w:szCs w:val="18"/>
                <w:highlight w:val="none"/>
                <w:lang w:bidi="en-US"/>
              </w:rPr>
            </w:pPr>
          </w:p>
        </w:tc>
        <w:tc>
          <w:tcPr>
            <w:tcW w:w="4305" w:type="dxa"/>
          </w:tcPr>
          <w:p w14:paraId="5E14A165">
            <w:pPr>
              <w:snapToGrid w:val="0"/>
              <w:spacing w:line="240" w:lineRule="auto"/>
              <w:rPr>
                <w:rFonts w:hint="eastAsia" w:ascii="宋体" w:hAnsi="宋体"/>
                <w:b/>
                <w:color w:val="000000"/>
                <w:kern w:val="0"/>
                <w:sz w:val="18"/>
                <w:szCs w:val="18"/>
                <w:highlight w:val="none"/>
                <w:lang w:bidi="en-US"/>
              </w:rPr>
            </w:pPr>
          </w:p>
        </w:tc>
      </w:tr>
      <w:tr w14:paraId="7742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345" w:type="dxa"/>
          </w:tcPr>
          <w:p w14:paraId="55EDEF1E">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23FB358E">
            <w:pPr>
              <w:snapToGrid w:val="0"/>
              <w:spacing w:line="240" w:lineRule="auto"/>
              <w:rPr>
                <w:rFonts w:hint="eastAsia" w:ascii="宋体" w:hAnsi="宋体"/>
                <w:color w:val="000000"/>
                <w:sz w:val="18"/>
                <w:szCs w:val="18"/>
                <w:highlight w:val="none"/>
              </w:rPr>
            </w:pPr>
          </w:p>
        </w:tc>
      </w:tr>
      <w:tr w14:paraId="016A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345" w:type="dxa"/>
          </w:tcPr>
          <w:p w14:paraId="465F9CF2">
            <w:pPr>
              <w:widowControl/>
              <w:shd w:val="clear" w:color="auto" w:fill="FFFFFF"/>
              <w:snapToGrid w:val="0"/>
              <w:spacing w:line="240" w:lineRule="auto"/>
              <w:ind w:left="420"/>
              <w:contextualSpacing/>
              <w:jc w:val="left"/>
              <w:rPr>
                <w:rFonts w:hint="eastAsia" w:ascii="宋体" w:hAnsi="宋体"/>
                <w:color w:val="000000"/>
                <w:kern w:val="0"/>
                <w:sz w:val="18"/>
                <w:szCs w:val="18"/>
                <w:highlight w:val="none"/>
                <w:lang w:bidi="en-US"/>
              </w:rPr>
            </w:pPr>
          </w:p>
        </w:tc>
        <w:tc>
          <w:tcPr>
            <w:tcW w:w="4305" w:type="dxa"/>
          </w:tcPr>
          <w:p w14:paraId="5D14C8DA">
            <w:pPr>
              <w:snapToGrid w:val="0"/>
              <w:spacing w:line="240" w:lineRule="auto"/>
              <w:rPr>
                <w:rFonts w:hint="eastAsia" w:ascii="宋体" w:hAnsi="宋体"/>
                <w:color w:val="000000"/>
                <w:sz w:val="18"/>
                <w:szCs w:val="18"/>
                <w:highlight w:val="none"/>
              </w:rPr>
            </w:pPr>
          </w:p>
        </w:tc>
      </w:tr>
    </w:tbl>
    <w:p w14:paraId="6206C8A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b/>
          <w:color w:val="000000"/>
          <w:sz w:val="18"/>
          <w:szCs w:val="18"/>
          <w:highlight w:val="none"/>
          <w:lang w:val="zh-CN"/>
        </w:rPr>
        <w:t>目录一、竞争性磋商申请及声明</w:t>
      </w:r>
    </w:p>
    <w:p w14:paraId="394D5164">
      <w:pPr>
        <w:autoSpaceDE w:val="0"/>
        <w:autoSpaceDN w:val="0"/>
        <w:adjustRightInd w:val="0"/>
        <w:spacing w:line="240" w:lineRule="auto"/>
        <w:ind w:firstLine="3433" w:firstLineChars="1900"/>
        <w:rPr>
          <w:rFonts w:hint="eastAsia" w:ascii="宋体" w:hAnsi="宋体" w:cs="宋体"/>
          <w:b/>
          <w:bCs/>
          <w:color w:val="000000"/>
          <w:sz w:val="18"/>
          <w:szCs w:val="18"/>
          <w:highlight w:val="none"/>
        </w:rPr>
      </w:pPr>
      <w:r>
        <w:rPr>
          <w:rFonts w:hint="eastAsia" w:ascii="宋体" w:hAnsi="宋体" w:cs="宋体"/>
          <w:b/>
          <w:bCs/>
          <w:color w:val="000000"/>
          <w:sz w:val="18"/>
          <w:szCs w:val="18"/>
          <w:highlight w:val="none"/>
        </w:rPr>
        <w:t>竞争性磋商申请及声明</w:t>
      </w:r>
    </w:p>
    <w:p w14:paraId="161CA9D1">
      <w:pPr>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致：南京市溧水区人民医院</w:t>
      </w:r>
    </w:p>
    <w:p w14:paraId="64AB65C1">
      <w:pPr>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根据贵方</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 xml:space="preserve">（项目名称） </w:t>
      </w:r>
      <w:r>
        <w:rPr>
          <w:rFonts w:hint="eastAsia" w:ascii="宋体" w:hAnsi="宋体" w:cs="宋体"/>
          <w:b/>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（项目编号）竞争性磋商邀请，正式授权下述签字人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(姓名和职务)代表</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（供应商名称），提交响应文件并参加磋商。</w:t>
      </w:r>
    </w:p>
    <w:p w14:paraId="1E6B8B1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据此函，签字人兹宣布同意如下：</w:t>
      </w:r>
    </w:p>
    <w:p w14:paraId="1EC47D8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1、</w:t>
      </w:r>
      <w:r>
        <w:rPr>
          <w:rFonts w:hint="eastAsia" w:ascii="宋体" w:hAnsi="宋体" w:cs="宋体"/>
          <w:b/>
          <w:color w:val="000000"/>
          <w:sz w:val="18"/>
          <w:szCs w:val="18"/>
          <w:highlight w:val="none"/>
          <w:lang w:val="zh-CN"/>
        </w:rPr>
        <w:t>我们的资格条件完全符合政府采购法和本次采购要求</w:t>
      </w:r>
      <w:r>
        <w:rPr>
          <w:rFonts w:hint="eastAsia" w:ascii="宋体" w:hAnsi="宋体" w:cs="宋体"/>
          <w:color w:val="000000"/>
          <w:sz w:val="18"/>
          <w:szCs w:val="18"/>
          <w:highlight w:val="none"/>
          <w:lang w:val="zh-CN"/>
        </w:rPr>
        <w:t>，</w:t>
      </w:r>
      <w:r>
        <w:rPr>
          <w:rFonts w:hint="eastAsia" w:ascii="宋体" w:hAnsi="宋体" w:cs="宋体"/>
          <w:color w:val="000000"/>
          <w:sz w:val="18"/>
          <w:szCs w:val="18"/>
          <w:highlight w:val="none"/>
        </w:rPr>
        <w:t>我们</w:t>
      </w:r>
      <w:r>
        <w:rPr>
          <w:rFonts w:hint="eastAsia" w:ascii="宋体" w:hAnsi="宋体" w:cs="宋体"/>
          <w:color w:val="000000"/>
          <w:sz w:val="18"/>
          <w:szCs w:val="18"/>
          <w:highlight w:val="none"/>
          <w:lang w:val="zh-CN"/>
        </w:rPr>
        <w:t>同意并向贵方提供了与本次采购活动有关的所有证据和资料</w:t>
      </w:r>
      <w:r>
        <w:rPr>
          <w:rFonts w:hint="eastAsia" w:ascii="宋体" w:hAnsi="宋体" w:cs="宋体"/>
          <w:color w:val="000000"/>
          <w:sz w:val="18"/>
          <w:szCs w:val="18"/>
          <w:highlight w:val="none"/>
        </w:rPr>
        <w:t>。</w:t>
      </w:r>
    </w:p>
    <w:p w14:paraId="73105B0A">
      <w:pPr>
        <w:spacing w:line="240" w:lineRule="auto"/>
        <w:ind w:firstLine="360" w:firstLineChars="20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rPr>
        <w:t>2、服务名称：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558174E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3、</w:t>
      </w:r>
      <w:r>
        <w:rPr>
          <w:rFonts w:hint="eastAsia" w:ascii="宋体" w:hAnsi="宋体" w:cs="宋体"/>
          <w:color w:val="000000"/>
          <w:sz w:val="18"/>
          <w:szCs w:val="18"/>
          <w:highlight w:val="none"/>
          <w:lang w:val="zh-CN"/>
        </w:rPr>
        <w:t>我们的</w:t>
      </w:r>
      <w:r>
        <w:rPr>
          <w:rFonts w:hint="eastAsia" w:ascii="宋体" w:hAnsi="宋体" w:cs="宋体"/>
          <w:color w:val="000000"/>
          <w:sz w:val="18"/>
          <w:szCs w:val="18"/>
          <w:highlight w:val="none"/>
        </w:rPr>
        <w:t>投标总金额为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w:t>
      </w:r>
    </w:p>
    <w:p w14:paraId="626EE63C">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4、</w:t>
      </w:r>
      <w:r>
        <w:rPr>
          <w:rFonts w:hint="eastAsia" w:ascii="宋体" w:hAnsi="宋体" w:cs="宋体"/>
          <w:color w:val="000000"/>
          <w:sz w:val="18"/>
          <w:szCs w:val="18"/>
          <w:highlight w:val="none"/>
          <w:lang w:val="zh-CN"/>
        </w:rPr>
        <w:t>我们已详细审核全部磋商文件及其有效补充文件，我们放弃对磋商文件任何误解的权利，提交响应文件后，</w:t>
      </w:r>
      <w:r>
        <w:rPr>
          <w:rFonts w:hint="eastAsia" w:ascii="宋体" w:hAnsi="宋体" w:cs="宋体"/>
          <w:b/>
          <w:color w:val="000000"/>
          <w:sz w:val="18"/>
          <w:szCs w:val="18"/>
          <w:highlight w:val="none"/>
          <w:lang w:val="zh-CN"/>
        </w:rPr>
        <w:t>不对磋商文件本身提出质疑</w:t>
      </w:r>
      <w:r>
        <w:rPr>
          <w:rFonts w:hint="eastAsia" w:ascii="宋体" w:hAnsi="宋体" w:cs="宋体"/>
          <w:color w:val="000000"/>
          <w:sz w:val="18"/>
          <w:szCs w:val="18"/>
          <w:highlight w:val="none"/>
          <w:lang w:val="zh-CN"/>
        </w:rPr>
        <w:t>。否则，属于不诚信和故意扰乱政府采购活动行为，我们将无条件接受处罚。</w:t>
      </w:r>
    </w:p>
    <w:p w14:paraId="53837299">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5、一旦我方成交，我方将根据磋商文件的规定，严格履行合同，保证于承诺的时间内完成本项目规定的服务内容。</w:t>
      </w:r>
    </w:p>
    <w:p w14:paraId="74D03983">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6、我方决不提供虚假材料谋取成交、决不采取不正当手段诋毁、排挤其他供应商、决不与采购人、其它供应商或者南京市溧水区人民医院恶意串通、决不向采购人和磋商小组进行商业贿赂、决不拒绝有关部门监督检查或提供虚假情况，如有违反，无条件接受贵方及相关管理部门的处罚。</w:t>
      </w:r>
    </w:p>
    <w:p w14:paraId="733B3FF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7、我方正式通讯方式为：</w:t>
      </w:r>
    </w:p>
    <w:p w14:paraId="4310C303">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地   址：</w:t>
      </w:r>
      <w:r>
        <w:rPr>
          <w:rFonts w:hint="eastAsia" w:ascii="宋体" w:hAnsi="宋体" w:cs="宋体"/>
          <w:color w:val="000000"/>
          <w:sz w:val="18"/>
          <w:szCs w:val="18"/>
          <w:highlight w:val="none"/>
          <w:u w:val="single"/>
        </w:rPr>
        <w:t xml:space="preserve">                       </w:t>
      </w:r>
    </w:p>
    <w:p w14:paraId="7516286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电   话：</w:t>
      </w:r>
      <w:r>
        <w:rPr>
          <w:rFonts w:hint="eastAsia" w:ascii="宋体" w:hAnsi="宋体" w:cs="宋体"/>
          <w:color w:val="000000"/>
          <w:sz w:val="18"/>
          <w:szCs w:val="18"/>
          <w:highlight w:val="none"/>
          <w:u w:val="single"/>
        </w:rPr>
        <w:t xml:space="preserve">                       </w:t>
      </w:r>
    </w:p>
    <w:p w14:paraId="6E19AB5F">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传   真：</w:t>
      </w:r>
      <w:r>
        <w:rPr>
          <w:rFonts w:hint="eastAsia" w:ascii="宋体" w:hAnsi="宋体" w:cs="宋体"/>
          <w:color w:val="000000"/>
          <w:sz w:val="18"/>
          <w:szCs w:val="18"/>
          <w:highlight w:val="none"/>
          <w:u w:val="single"/>
        </w:rPr>
        <w:t xml:space="preserve">                       </w:t>
      </w:r>
    </w:p>
    <w:p w14:paraId="69D04A5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8、我方正式开户银行和帐号为：</w:t>
      </w:r>
    </w:p>
    <w:p w14:paraId="76C06B3A">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开户银行：</w:t>
      </w:r>
      <w:r>
        <w:rPr>
          <w:rFonts w:hint="eastAsia" w:ascii="宋体" w:hAnsi="宋体" w:cs="宋体"/>
          <w:color w:val="000000"/>
          <w:sz w:val="18"/>
          <w:szCs w:val="18"/>
          <w:highlight w:val="none"/>
          <w:u w:val="single"/>
        </w:rPr>
        <w:t xml:space="preserve">                       </w:t>
      </w:r>
    </w:p>
    <w:p w14:paraId="4EDE93CB">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帐    号：</w:t>
      </w:r>
      <w:r>
        <w:rPr>
          <w:rFonts w:hint="eastAsia" w:ascii="宋体" w:hAnsi="宋体" w:cs="宋体"/>
          <w:color w:val="000000"/>
          <w:sz w:val="18"/>
          <w:szCs w:val="18"/>
          <w:highlight w:val="none"/>
          <w:u w:val="single"/>
        </w:rPr>
        <w:t xml:space="preserve">                       </w:t>
      </w:r>
    </w:p>
    <w:p w14:paraId="4BD8B92C">
      <w:pPr>
        <w:spacing w:line="240" w:lineRule="auto"/>
        <w:ind w:firstLine="360" w:firstLineChars="200"/>
        <w:rPr>
          <w:rFonts w:hint="eastAsia" w:ascii="宋体" w:hAnsi="宋体" w:cs="宋体"/>
          <w:color w:val="000000"/>
          <w:sz w:val="18"/>
          <w:szCs w:val="18"/>
          <w:highlight w:val="none"/>
          <w:u w:val="single"/>
        </w:rPr>
      </w:pPr>
      <w:r>
        <w:rPr>
          <w:rFonts w:hint="eastAsia" w:ascii="宋体" w:hAnsi="宋体" w:cs="宋体"/>
          <w:color w:val="000000"/>
          <w:sz w:val="18"/>
          <w:szCs w:val="18"/>
          <w:highlight w:val="none"/>
        </w:rPr>
        <w:t>供应商授权代表姓名（签字或签章）：</w:t>
      </w:r>
      <w:r>
        <w:rPr>
          <w:rFonts w:hint="eastAsia" w:ascii="宋体" w:hAnsi="宋体" w:cs="宋体"/>
          <w:color w:val="000000"/>
          <w:sz w:val="18"/>
          <w:szCs w:val="18"/>
          <w:highlight w:val="none"/>
          <w:u w:val="single"/>
        </w:rPr>
        <w:t xml:space="preserve">         </w:t>
      </w:r>
    </w:p>
    <w:p w14:paraId="5444B270">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供应商名称（公章）：</w:t>
      </w:r>
      <w:r>
        <w:rPr>
          <w:rFonts w:hint="eastAsia" w:ascii="宋体" w:hAnsi="宋体" w:cs="宋体"/>
          <w:color w:val="000000"/>
          <w:sz w:val="18"/>
          <w:szCs w:val="18"/>
          <w:highlight w:val="none"/>
          <w:u w:val="single"/>
        </w:rPr>
        <w:t xml:space="preserve">                 </w:t>
      </w:r>
    </w:p>
    <w:p w14:paraId="6A7E4A4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年</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月</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日</w:t>
      </w:r>
    </w:p>
    <w:p w14:paraId="09F46C99">
      <w:pPr>
        <w:autoSpaceDE w:val="0"/>
        <w:autoSpaceDN w:val="0"/>
        <w:adjustRightInd w:val="0"/>
        <w:spacing w:line="240" w:lineRule="auto"/>
        <w:rPr>
          <w:rFonts w:hint="eastAsia" w:ascii="宋体" w:hAnsi="宋体" w:cs="宋体"/>
          <w:b/>
          <w:color w:val="000000"/>
          <w:sz w:val="18"/>
          <w:szCs w:val="18"/>
          <w:highlight w:val="none"/>
          <w:lang w:val="zh-CN"/>
        </w:rPr>
      </w:pPr>
      <w:r>
        <w:rPr>
          <w:rFonts w:hint="eastAsia" w:ascii="宋体" w:hAnsi="宋体" w:cs="宋体"/>
          <w:b/>
          <w:color w:val="000000"/>
          <w:sz w:val="18"/>
          <w:szCs w:val="18"/>
          <w:highlight w:val="none"/>
          <w:lang w:val="zh-CN"/>
        </w:rPr>
        <w:t>目录二、法定代表人授权书格式</w:t>
      </w:r>
    </w:p>
    <w:p w14:paraId="00F6E52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法定代表人授权书</w:t>
      </w:r>
    </w:p>
    <w:p w14:paraId="1AC1CC28">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本授权书声明：注册于</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（供应商住址）的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（供应商名称）法定代表人</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（法定代表人姓名、职务）代表本公司授权在下面签字的</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lang w:val="zh-CN"/>
        </w:rPr>
        <w:t>（供应商代表姓名、职务）为本公司的合法代理人，就贵方组织的项目名称</w:t>
      </w:r>
      <w:r>
        <w:rPr>
          <w:rFonts w:hint="eastAsia" w:ascii="宋体" w:hAnsi="宋体" w:cs="宋体"/>
          <w:bCs/>
          <w:color w:val="000000"/>
          <w:sz w:val="18"/>
          <w:szCs w:val="18"/>
          <w:highlight w:val="none"/>
          <w:u w:val="single"/>
          <w:lang w:val="zh-CN"/>
        </w:rPr>
        <w:t xml:space="preserve">                   </w:t>
      </w:r>
      <w:r>
        <w:rPr>
          <w:rFonts w:hint="eastAsia" w:ascii="宋体" w:hAnsi="宋体" w:cs="宋体"/>
          <w:color w:val="000000"/>
          <w:sz w:val="18"/>
          <w:szCs w:val="18"/>
          <w:highlight w:val="none"/>
          <w:lang w:val="zh-CN"/>
        </w:rPr>
        <w:t>，项目编号：</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u w:val="single"/>
          <w:lang w:val="zh-CN"/>
        </w:rPr>
        <w:t xml:space="preserve">        </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lang w:val="zh-CN"/>
        </w:rPr>
        <w:t>磋商，以本公司名义处理一切与之有关的事务。</w:t>
      </w:r>
    </w:p>
    <w:p w14:paraId="17C1DCD9">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本授权书于        年   月   日签字生效，特此声明。</w:t>
      </w:r>
    </w:p>
    <w:p w14:paraId="0342264C">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法定代表人签字或签章：</w:t>
      </w:r>
    </w:p>
    <w:p w14:paraId="1BC3E8F2">
      <w:pPr>
        <w:autoSpaceDE w:val="0"/>
        <w:autoSpaceDN w:val="0"/>
        <w:adjustRightInd w:val="0"/>
        <w:spacing w:line="240" w:lineRule="auto"/>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 xml:space="preserve">    被授权人签字：                    </w:t>
      </w:r>
    </w:p>
    <w:p w14:paraId="45CC5802">
      <w:pPr>
        <w:tabs>
          <w:tab w:val="left" w:pos="1440"/>
        </w:tabs>
        <w:autoSpaceDE w:val="0"/>
        <w:autoSpaceDN w:val="0"/>
        <w:adjustRightInd w:val="0"/>
        <w:spacing w:line="240" w:lineRule="auto"/>
        <w:ind w:firstLine="420"/>
        <w:rPr>
          <w:rFonts w:hint="eastAsia" w:ascii="宋体" w:hAnsi="宋体" w:cs="宋体"/>
          <w:color w:val="000000"/>
          <w:sz w:val="18"/>
          <w:szCs w:val="18"/>
          <w:highlight w:val="none"/>
          <w:lang w:val="zh-CN"/>
        </w:rPr>
      </w:pPr>
      <w:r>
        <w:rPr>
          <w:rFonts w:hint="eastAsia" w:ascii="宋体" w:hAnsi="宋体" w:cs="宋体"/>
          <w:color w:val="000000"/>
          <w:sz w:val="18"/>
          <w:szCs w:val="18"/>
          <w:highlight w:val="none"/>
          <w:lang w:val="zh-CN"/>
        </w:rPr>
        <w:t>日</w:t>
      </w:r>
      <w:r>
        <w:rPr>
          <w:rFonts w:hint="eastAsia" w:ascii="宋体" w:hAnsi="宋体" w:cs="宋体"/>
          <w:color w:val="000000"/>
          <w:sz w:val="18"/>
          <w:szCs w:val="18"/>
          <w:highlight w:val="none"/>
        </w:rPr>
        <w:t xml:space="preserve">   </w:t>
      </w:r>
      <w:r>
        <w:rPr>
          <w:rFonts w:hint="eastAsia" w:ascii="宋体" w:hAnsi="宋体" w:cs="宋体"/>
          <w:color w:val="000000"/>
          <w:sz w:val="18"/>
          <w:szCs w:val="18"/>
          <w:highlight w:val="none"/>
          <w:lang w:val="zh-CN"/>
        </w:rPr>
        <w:t>期：        年    月    日</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0"/>
        <w:gridCol w:w="5580"/>
      </w:tblGrid>
      <w:tr w14:paraId="6DF90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5580" w:type="dxa"/>
          </w:tcPr>
          <w:p w14:paraId="4B590D85">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法定代表人身份证复印件（加盖投标人公章）</w:t>
            </w:r>
          </w:p>
        </w:tc>
        <w:tc>
          <w:tcPr>
            <w:tcW w:w="5580" w:type="dxa"/>
          </w:tcPr>
          <w:p w14:paraId="32687FBC">
            <w:pPr>
              <w:tabs>
                <w:tab w:val="left" w:pos="1440"/>
              </w:tabs>
              <w:autoSpaceDE w:val="0"/>
              <w:autoSpaceDN w:val="0"/>
              <w:adjustRightInd w:val="0"/>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lang w:val="zh-CN"/>
              </w:rPr>
              <w:t>被授权人身份证复印件（加盖投标人公章）</w:t>
            </w:r>
          </w:p>
        </w:tc>
      </w:tr>
    </w:tbl>
    <w:p w14:paraId="0C6D0DAF">
      <w:pPr>
        <w:spacing w:line="240" w:lineRule="auto"/>
        <w:rPr>
          <w:rFonts w:hint="eastAsia" w:ascii="宋体" w:hAnsi="宋体" w:cs="宋体"/>
          <w:b/>
          <w:color w:val="000000"/>
          <w:kern w:val="0"/>
          <w:sz w:val="18"/>
          <w:szCs w:val="18"/>
          <w:highlight w:val="none"/>
        </w:rPr>
      </w:pPr>
      <w:bookmarkStart w:id="4" w:name="_Toc499284719"/>
      <w:bookmarkStart w:id="5" w:name="_Toc372533341"/>
      <w:r>
        <w:rPr>
          <w:rFonts w:hint="eastAsia" w:ascii="宋体" w:hAnsi="宋体" w:cs="宋体"/>
          <w:b/>
          <w:color w:val="000000"/>
          <w:kern w:val="0"/>
          <w:sz w:val="18"/>
          <w:szCs w:val="18"/>
          <w:highlight w:val="none"/>
          <w:lang w:val="zh-CN"/>
        </w:rPr>
        <w:t>目录三、 报价单</w:t>
      </w:r>
      <w:r>
        <w:rPr>
          <w:rFonts w:hint="eastAsia" w:ascii="宋体" w:hAnsi="宋体" w:cs="宋体"/>
          <w:b/>
          <w:color w:val="000000"/>
          <w:kern w:val="0"/>
          <w:sz w:val="18"/>
          <w:szCs w:val="18"/>
          <w:highlight w:val="none"/>
        </w:rPr>
        <w:t xml:space="preserve"> </w:t>
      </w:r>
    </w:p>
    <w:bookmarkEnd w:id="4"/>
    <w:bookmarkEnd w:id="5"/>
    <w:p w14:paraId="4EB29C15">
      <w:pPr>
        <w:pStyle w:val="4"/>
        <w:spacing w:line="240" w:lineRule="auto"/>
        <w:ind w:firstLine="1620" w:firstLineChars="900"/>
        <w:jc w:val="center"/>
        <w:rPr>
          <w:rFonts w:hint="eastAsia" w:ascii="宋体" w:hAnsi="宋体" w:eastAsia="宋体" w:cs="宋体"/>
          <w:color w:val="000000"/>
          <w:sz w:val="18"/>
          <w:szCs w:val="18"/>
          <w:highlight w:val="none"/>
          <w:lang w:val="zh-CN"/>
        </w:rPr>
      </w:pPr>
      <w:r>
        <w:rPr>
          <w:rFonts w:hint="eastAsia" w:ascii="宋体" w:hAnsi="宋体" w:eastAsia="宋体" w:cs="宋体"/>
          <w:color w:val="000000"/>
          <w:kern w:val="0"/>
          <w:sz w:val="18"/>
          <w:szCs w:val="18"/>
          <w:highlight w:val="none"/>
          <w:lang w:val="zh-CN"/>
        </w:rPr>
        <w:t>报价单（第</w:t>
      </w:r>
      <w:r>
        <w:rPr>
          <w:rFonts w:hint="eastAsia" w:ascii="宋体" w:hAnsi="宋体" w:eastAsia="宋体" w:cs="宋体"/>
          <w:color w:val="000000"/>
          <w:kern w:val="0"/>
          <w:sz w:val="18"/>
          <w:szCs w:val="18"/>
          <w:highlight w:val="none"/>
        </w:rPr>
        <w:t xml:space="preserve">  轮</w:t>
      </w:r>
      <w:r>
        <w:rPr>
          <w:rFonts w:hint="eastAsia" w:ascii="宋体" w:hAnsi="宋体" w:eastAsia="宋体" w:cs="宋体"/>
          <w:color w:val="000000"/>
          <w:kern w:val="0"/>
          <w:sz w:val="18"/>
          <w:szCs w:val="18"/>
          <w:highlight w:val="none"/>
          <w:lang w:val="zh-CN"/>
        </w:rPr>
        <w:t>）</w:t>
      </w:r>
    </w:p>
    <w:tbl>
      <w:tblPr>
        <w:tblStyle w:val="8"/>
        <w:tblpPr w:leftFromText="180" w:rightFromText="180" w:vertAnchor="text" w:horzAnchor="page" w:tblpXSpec="center" w:tblpY="428"/>
        <w:tblOverlap w:val="never"/>
        <w:tblW w:w="4730" w:type="pct"/>
        <w:jc w:val="center"/>
        <w:shd w:val="clear" w:color="auto" w:fill="FFFFFF"/>
        <w:tblLayout w:type="fixed"/>
        <w:tblCellMar>
          <w:top w:w="0" w:type="dxa"/>
          <w:left w:w="0" w:type="dxa"/>
          <w:bottom w:w="0" w:type="dxa"/>
          <w:right w:w="0" w:type="dxa"/>
        </w:tblCellMar>
      </w:tblPr>
      <w:tblGrid>
        <w:gridCol w:w="2585"/>
        <w:gridCol w:w="1324"/>
        <w:gridCol w:w="748"/>
        <w:gridCol w:w="754"/>
        <w:gridCol w:w="1432"/>
        <w:gridCol w:w="1975"/>
        <w:gridCol w:w="1814"/>
      </w:tblGrid>
      <w:tr w14:paraId="3375F6E3">
        <w:tblPrEx>
          <w:shd w:val="clear" w:color="auto" w:fill="FFFFFF"/>
          <w:tblCellMar>
            <w:top w:w="0" w:type="dxa"/>
            <w:left w:w="0" w:type="dxa"/>
            <w:bottom w:w="0" w:type="dxa"/>
            <w:right w:w="0" w:type="dxa"/>
          </w:tblCellMar>
        </w:tblPrEx>
        <w:trPr>
          <w:trHeight w:val="296" w:hRule="atLeast"/>
          <w:jc w:val="center"/>
        </w:trPr>
        <w:tc>
          <w:tcPr>
            <w:tcW w:w="2190" w:type="pct"/>
            <w:gridSpan w:val="3"/>
            <w:tcBorders>
              <w:top w:val="nil"/>
              <w:left w:val="nil"/>
              <w:bottom w:val="single" w:color="auto" w:sz="8" w:space="0"/>
              <w:right w:val="nil"/>
            </w:tcBorders>
            <w:shd w:val="clear" w:color="auto" w:fill="FFFFFF"/>
            <w:tcMar>
              <w:top w:w="0" w:type="dxa"/>
              <w:left w:w="108" w:type="dxa"/>
              <w:bottom w:w="0" w:type="dxa"/>
              <w:right w:w="108" w:type="dxa"/>
            </w:tcMar>
            <w:vAlign w:val="center"/>
          </w:tcPr>
          <w:p w14:paraId="351AC399">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项目名称：</w:t>
            </w:r>
          </w:p>
        </w:tc>
        <w:tc>
          <w:tcPr>
            <w:tcW w:w="2809" w:type="pct"/>
            <w:gridSpan w:val="4"/>
            <w:tcBorders>
              <w:top w:val="nil"/>
              <w:left w:val="nil"/>
              <w:bottom w:val="single" w:color="auto" w:sz="8" w:space="0"/>
              <w:right w:val="nil"/>
            </w:tcBorders>
            <w:shd w:val="clear" w:color="auto" w:fill="FFFFFF"/>
            <w:tcMar>
              <w:top w:w="0" w:type="dxa"/>
              <w:left w:w="108" w:type="dxa"/>
              <w:bottom w:w="0" w:type="dxa"/>
              <w:right w:w="108" w:type="dxa"/>
            </w:tcMar>
            <w:vAlign w:val="center"/>
          </w:tcPr>
          <w:p w14:paraId="5ECE829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项目编号：     </w:t>
            </w:r>
          </w:p>
        </w:tc>
      </w:tr>
      <w:tr w14:paraId="3C927F5A">
        <w:tblPrEx>
          <w:tblCellMar>
            <w:top w:w="0" w:type="dxa"/>
            <w:left w:w="0" w:type="dxa"/>
            <w:bottom w:w="0" w:type="dxa"/>
            <w:right w:w="0" w:type="dxa"/>
          </w:tblCellMar>
        </w:tblPrEx>
        <w:trPr>
          <w:trHeight w:val="531" w:hRule="atLeast"/>
          <w:jc w:val="center"/>
        </w:trPr>
        <w:tc>
          <w:tcPr>
            <w:tcW w:w="1215"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F8D363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序号</w:t>
            </w:r>
          </w:p>
        </w:tc>
        <w:tc>
          <w:tcPr>
            <w:tcW w:w="622"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7766787B">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产品名称</w:t>
            </w:r>
          </w:p>
        </w:tc>
        <w:tc>
          <w:tcPr>
            <w:tcW w:w="706" w:type="pct"/>
            <w:gridSpan w:val="2"/>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3128FAF9">
            <w:pPr>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品牌、型号</w:t>
            </w:r>
          </w:p>
        </w:tc>
        <w:tc>
          <w:tcPr>
            <w:tcW w:w="67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0C30F8B4">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数量（套）</w:t>
            </w:r>
          </w:p>
        </w:tc>
        <w:tc>
          <w:tcPr>
            <w:tcW w:w="928"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4DC1C77D">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投标单价（元/套）</w:t>
            </w:r>
          </w:p>
        </w:tc>
        <w:tc>
          <w:tcPr>
            <w:tcW w:w="853" w:type="pct"/>
            <w:tcBorders>
              <w:top w:val="single" w:color="auto" w:sz="8" w:space="0"/>
              <w:left w:val="single" w:color="auto" w:sz="8" w:space="0"/>
              <w:bottom w:val="nil"/>
              <w:right w:val="single" w:color="auto" w:sz="8" w:space="0"/>
            </w:tcBorders>
            <w:shd w:val="clear" w:color="auto" w:fill="FFFFFF"/>
            <w:tcMar>
              <w:top w:w="0" w:type="dxa"/>
              <w:left w:w="108" w:type="dxa"/>
              <w:bottom w:w="0" w:type="dxa"/>
              <w:right w:w="108" w:type="dxa"/>
            </w:tcMar>
            <w:vAlign w:val="center"/>
          </w:tcPr>
          <w:p w14:paraId="1E0EE5CC">
            <w:pPr>
              <w:widowControl/>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投标总报价（元）</w:t>
            </w:r>
          </w:p>
        </w:tc>
      </w:tr>
      <w:tr w14:paraId="7AE44EF6">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B2C7B08">
            <w:pPr>
              <w:spacing w:line="240" w:lineRule="auto"/>
              <w:ind w:firstLine="1265" w:firstLineChars="700"/>
              <w:rPr>
                <w:rFonts w:hint="eastAsia" w:ascii="宋体" w:hAnsi="宋体" w:cs="宋体"/>
                <w:b/>
                <w:bCs/>
                <w:color w:val="000000"/>
                <w:sz w:val="18"/>
                <w:szCs w:val="18"/>
                <w:highlight w:val="none"/>
              </w:rPr>
            </w:pPr>
          </w:p>
        </w:tc>
        <w:tc>
          <w:tcPr>
            <w:tcW w:w="706"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478CBDB">
            <w:pPr>
              <w:spacing w:line="240" w:lineRule="auto"/>
              <w:ind w:left="151"/>
              <w:jc w:val="center"/>
              <w:rPr>
                <w:rFonts w:hint="eastAsia" w:ascii="宋体" w:hAnsi="宋体" w:cs="宋体"/>
                <w:color w:val="000000"/>
                <w:kern w:val="0"/>
                <w:sz w:val="18"/>
                <w:szCs w:val="18"/>
                <w:highlight w:val="none"/>
              </w:rPr>
            </w:pPr>
          </w:p>
        </w:tc>
        <w:tc>
          <w:tcPr>
            <w:tcW w:w="67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9316441">
            <w:pPr>
              <w:widowControl/>
              <w:spacing w:line="240" w:lineRule="auto"/>
              <w:jc w:val="center"/>
              <w:rPr>
                <w:rFonts w:hint="eastAsia" w:ascii="宋体" w:hAnsi="宋体" w:cs="宋体"/>
                <w:color w:val="000000"/>
                <w:kern w:val="0"/>
                <w:sz w:val="18"/>
                <w:szCs w:val="18"/>
                <w:highlight w:val="none"/>
              </w:rPr>
            </w:pPr>
          </w:p>
        </w:tc>
        <w:tc>
          <w:tcPr>
            <w:tcW w:w="928"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DFE755">
            <w:pPr>
              <w:widowControl/>
              <w:spacing w:line="240" w:lineRule="auto"/>
              <w:jc w:val="center"/>
              <w:rPr>
                <w:rFonts w:hint="eastAsia" w:ascii="宋体" w:hAnsi="宋体" w:cs="宋体"/>
                <w:color w:val="000000"/>
                <w:kern w:val="0"/>
                <w:sz w:val="18"/>
                <w:szCs w:val="18"/>
                <w:highlight w:val="none"/>
              </w:rPr>
            </w:pPr>
          </w:p>
        </w:tc>
        <w:tc>
          <w:tcPr>
            <w:tcW w:w="853" w:type="pct"/>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6BA79ED">
            <w:pPr>
              <w:widowControl/>
              <w:spacing w:line="240" w:lineRule="auto"/>
              <w:jc w:val="center"/>
              <w:rPr>
                <w:rFonts w:hint="eastAsia" w:ascii="宋体" w:hAnsi="宋体" w:cs="宋体"/>
                <w:color w:val="000000"/>
                <w:kern w:val="0"/>
                <w:sz w:val="18"/>
                <w:szCs w:val="18"/>
                <w:highlight w:val="none"/>
              </w:rPr>
            </w:pPr>
          </w:p>
        </w:tc>
      </w:tr>
      <w:tr w14:paraId="0A749F6A">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3B639B7">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投标产品是否属于小微型企业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0D0EF2F">
            <w:pPr>
              <w:widowControl/>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w:t>
            </w: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118730DE">
        <w:tblPrEx>
          <w:tblCellMar>
            <w:top w:w="0" w:type="dxa"/>
            <w:left w:w="0" w:type="dxa"/>
            <w:bottom w:w="0" w:type="dxa"/>
            <w:right w:w="0" w:type="dxa"/>
          </w:tblCellMar>
        </w:tblPrEx>
        <w:trPr>
          <w:trHeight w:val="313"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71467F8">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投标产品是否属于监狱刑企业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4E5735B">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r w14:paraId="53B7AB97">
        <w:tblPrEx>
          <w:tblCellMar>
            <w:top w:w="0" w:type="dxa"/>
            <w:left w:w="0" w:type="dxa"/>
            <w:bottom w:w="0" w:type="dxa"/>
            <w:right w:w="0" w:type="dxa"/>
          </w:tblCellMar>
        </w:tblPrEx>
        <w:trPr>
          <w:trHeight w:val="331" w:hRule="atLeast"/>
          <w:jc w:val="center"/>
        </w:trPr>
        <w:tc>
          <w:tcPr>
            <w:tcW w:w="1838" w:type="pct"/>
            <w:gridSpan w:val="2"/>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A6A8114">
            <w:pPr>
              <w:widowControl/>
              <w:spacing w:line="240" w:lineRule="auto"/>
              <w:jc w:val="center"/>
              <w:rPr>
                <w:rFonts w:hint="eastAsia" w:ascii="宋体" w:hAnsi="宋体" w:cs="宋体"/>
                <w:color w:val="000000"/>
                <w:kern w:val="0"/>
                <w:sz w:val="16"/>
                <w:szCs w:val="16"/>
                <w:highlight w:val="none"/>
              </w:rPr>
            </w:pPr>
            <w:r>
              <w:rPr>
                <w:rFonts w:hint="eastAsia" w:ascii="宋体" w:hAnsi="宋体" w:cs="宋体"/>
                <w:color w:val="000000"/>
                <w:kern w:val="0"/>
                <w:sz w:val="16"/>
                <w:szCs w:val="16"/>
                <w:highlight w:val="none"/>
              </w:rPr>
              <w:t>投标产品是否属于残疾人企业</w:t>
            </w:r>
          </w:p>
        </w:tc>
        <w:tc>
          <w:tcPr>
            <w:tcW w:w="3161" w:type="pct"/>
            <w:gridSpan w:val="5"/>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2E69A3C">
            <w:pPr>
              <w:widowControl/>
              <w:spacing w:line="240" w:lineRule="auto"/>
              <w:jc w:val="left"/>
              <w:rPr>
                <w:rFonts w:hint="eastAsia" w:ascii="宋体" w:hAnsi="宋体" w:cs="宋体"/>
                <w:color w:val="000000"/>
                <w:kern w:val="0"/>
                <w:sz w:val="18"/>
                <w:szCs w:val="18"/>
                <w:highlight w:val="none"/>
                <w:u w:val="single"/>
              </w:rPr>
            </w:pPr>
            <w:r>
              <w:rPr>
                <w:rFonts w:hint="eastAsia" w:ascii="宋体" w:hAnsi="宋体" w:cs="宋体"/>
                <w:color w:val="000000"/>
                <w:kern w:val="0"/>
                <w:sz w:val="18"/>
                <w:szCs w:val="18"/>
                <w:highlight w:val="none"/>
                <w:u w:val="single"/>
              </w:rPr>
              <w:t xml:space="preserve">                  </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填写“是”或“否</w:t>
            </w:r>
            <w:r>
              <w:rPr>
                <w:rFonts w:hint="eastAsia" w:ascii="宋体" w:hAnsi="宋体" w:cs="宋体"/>
                <w:color w:val="000000"/>
                <w:kern w:val="0"/>
                <w:sz w:val="18"/>
                <w:szCs w:val="18"/>
                <w:highlight w:val="none"/>
              </w:rPr>
              <w:t>）</w:t>
            </w:r>
          </w:p>
        </w:tc>
      </w:tr>
    </w:tbl>
    <w:p w14:paraId="483E97BF">
      <w:pPr>
        <w:widowControl/>
        <w:adjustRightInd w:val="0"/>
        <w:spacing w:line="240" w:lineRule="auto"/>
        <w:ind w:firstLine="360" w:firstLineChars="200"/>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7DC44C3A">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对小型和微型企业产品的价格给予10%扣除，用扣除后的价格参与评审。</w:t>
      </w:r>
    </w:p>
    <w:p w14:paraId="07975DE8">
      <w:pPr>
        <w:spacing w:line="240" w:lineRule="auto"/>
        <w:rPr>
          <w:color w:val="000000"/>
          <w:sz w:val="18"/>
          <w:szCs w:val="16"/>
          <w:highlight w:val="none"/>
        </w:rPr>
      </w:pPr>
      <w:r>
        <w:rPr>
          <w:rFonts w:hint="eastAsia" w:ascii="宋体" w:hAnsi="宋体" w:cs="宋体"/>
          <w:b/>
          <w:color w:val="000000"/>
          <w:kern w:val="0"/>
          <w:sz w:val="18"/>
          <w:szCs w:val="18"/>
          <w:highlight w:val="none"/>
          <w:lang w:val="zh-CN"/>
        </w:rPr>
        <w:t>注：《报价单》共两份，第一轮报价直接装订在招标文件内，第二轮最终报价单，请供应商签字或盖公章，由采购方收取二轮最终报价单。</w:t>
      </w:r>
    </w:p>
    <w:p w14:paraId="54FA4926">
      <w:pPr>
        <w:spacing w:line="240" w:lineRule="auto"/>
        <w:jc w:val="center"/>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零配件及易损件明细表</w:t>
      </w:r>
    </w:p>
    <w:p w14:paraId="20D515AB">
      <w:pPr>
        <w:spacing w:line="240" w:lineRule="auto"/>
        <w:jc w:val="left"/>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项目名称：</w:t>
      </w:r>
      <w:r>
        <w:rPr>
          <w:rFonts w:hint="eastAsia" w:ascii="宋体" w:hAnsi="宋体" w:cs="宋体"/>
          <w:bCs/>
          <w:color w:val="000000"/>
          <w:kern w:val="0"/>
          <w:sz w:val="18"/>
          <w:szCs w:val="18"/>
          <w:highlight w:val="none"/>
        </w:rPr>
        <w:t xml:space="preserve">                                          </w:t>
      </w:r>
      <w:r>
        <w:rPr>
          <w:rFonts w:hint="eastAsia" w:ascii="宋体" w:hAnsi="宋体" w:cs="宋体"/>
          <w:bCs/>
          <w:color w:val="000000"/>
          <w:kern w:val="0"/>
          <w:sz w:val="18"/>
          <w:szCs w:val="18"/>
          <w:highlight w:val="none"/>
          <w:lang w:val="zh-CN"/>
        </w:rPr>
        <w:t>项目编号：</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031"/>
        <w:gridCol w:w="1032"/>
        <w:gridCol w:w="1032"/>
        <w:gridCol w:w="1032"/>
        <w:gridCol w:w="1032"/>
        <w:gridCol w:w="3792"/>
        <w:gridCol w:w="1125"/>
      </w:tblGrid>
      <w:tr w14:paraId="52CD3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9ACF2F3">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序号</w:t>
            </w:r>
          </w:p>
        </w:tc>
        <w:tc>
          <w:tcPr>
            <w:tcW w:w="1031" w:type="dxa"/>
          </w:tcPr>
          <w:p w14:paraId="6AF1261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名称</w:t>
            </w:r>
          </w:p>
        </w:tc>
        <w:tc>
          <w:tcPr>
            <w:tcW w:w="1032" w:type="dxa"/>
          </w:tcPr>
          <w:p w14:paraId="404F746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品牌</w:t>
            </w:r>
          </w:p>
        </w:tc>
        <w:tc>
          <w:tcPr>
            <w:tcW w:w="1032" w:type="dxa"/>
          </w:tcPr>
          <w:p w14:paraId="4331A634">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产地</w:t>
            </w:r>
          </w:p>
        </w:tc>
        <w:tc>
          <w:tcPr>
            <w:tcW w:w="1032" w:type="dxa"/>
          </w:tcPr>
          <w:p w14:paraId="62C1EC5C">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厂家</w:t>
            </w:r>
          </w:p>
        </w:tc>
        <w:tc>
          <w:tcPr>
            <w:tcW w:w="1032" w:type="dxa"/>
          </w:tcPr>
          <w:p w14:paraId="44956C99">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型号</w:t>
            </w:r>
          </w:p>
        </w:tc>
        <w:tc>
          <w:tcPr>
            <w:tcW w:w="3792" w:type="dxa"/>
          </w:tcPr>
          <w:p w14:paraId="337407FE">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质保期满后优惠价格</w:t>
            </w:r>
          </w:p>
        </w:tc>
        <w:tc>
          <w:tcPr>
            <w:tcW w:w="1125" w:type="dxa"/>
          </w:tcPr>
          <w:p w14:paraId="05637005">
            <w:pPr>
              <w:spacing w:line="240" w:lineRule="auto"/>
              <w:jc w:val="center"/>
              <w:rPr>
                <w:rFonts w:hint="eastAsia" w:ascii="宋体" w:hAnsi="宋体" w:cs="宋体"/>
                <w:bCs/>
                <w:color w:val="000000"/>
                <w:kern w:val="0"/>
                <w:sz w:val="18"/>
                <w:szCs w:val="18"/>
                <w:highlight w:val="none"/>
                <w:lang w:val="zh-CN"/>
              </w:rPr>
            </w:pPr>
            <w:r>
              <w:rPr>
                <w:rFonts w:hint="eastAsia" w:ascii="宋体" w:hAnsi="宋体" w:cs="宋体"/>
                <w:bCs/>
                <w:color w:val="000000"/>
                <w:kern w:val="0"/>
                <w:sz w:val="18"/>
                <w:szCs w:val="18"/>
                <w:highlight w:val="none"/>
                <w:lang w:val="zh-CN"/>
              </w:rPr>
              <w:t>其他</w:t>
            </w:r>
          </w:p>
        </w:tc>
      </w:tr>
      <w:tr w14:paraId="552D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2550C915">
            <w:pPr>
              <w:spacing w:line="240" w:lineRule="auto"/>
              <w:jc w:val="center"/>
              <w:rPr>
                <w:rFonts w:hint="eastAsia" w:ascii="宋体" w:hAnsi="宋体" w:cs="宋体"/>
                <w:bCs/>
                <w:color w:val="000000"/>
                <w:kern w:val="0"/>
                <w:sz w:val="18"/>
                <w:szCs w:val="18"/>
                <w:highlight w:val="none"/>
                <w:lang w:val="zh-CN"/>
              </w:rPr>
            </w:pPr>
          </w:p>
        </w:tc>
        <w:tc>
          <w:tcPr>
            <w:tcW w:w="1031" w:type="dxa"/>
          </w:tcPr>
          <w:p w14:paraId="273EDF61">
            <w:pPr>
              <w:spacing w:line="240" w:lineRule="auto"/>
              <w:jc w:val="center"/>
              <w:rPr>
                <w:rFonts w:hint="eastAsia" w:ascii="宋体" w:hAnsi="宋体" w:cs="宋体"/>
                <w:bCs/>
                <w:color w:val="000000"/>
                <w:kern w:val="0"/>
                <w:sz w:val="18"/>
                <w:szCs w:val="18"/>
                <w:highlight w:val="none"/>
                <w:lang w:val="zh-CN"/>
              </w:rPr>
            </w:pPr>
          </w:p>
        </w:tc>
        <w:tc>
          <w:tcPr>
            <w:tcW w:w="1032" w:type="dxa"/>
          </w:tcPr>
          <w:p w14:paraId="320C6148">
            <w:pPr>
              <w:spacing w:line="240" w:lineRule="auto"/>
              <w:jc w:val="center"/>
              <w:rPr>
                <w:rFonts w:hint="eastAsia" w:ascii="宋体" w:hAnsi="宋体" w:cs="宋体"/>
                <w:bCs/>
                <w:color w:val="000000"/>
                <w:kern w:val="0"/>
                <w:sz w:val="18"/>
                <w:szCs w:val="18"/>
                <w:highlight w:val="none"/>
                <w:lang w:val="zh-CN"/>
              </w:rPr>
            </w:pPr>
          </w:p>
        </w:tc>
        <w:tc>
          <w:tcPr>
            <w:tcW w:w="1032" w:type="dxa"/>
          </w:tcPr>
          <w:p w14:paraId="1FFCE737">
            <w:pPr>
              <w:spacing w:line="240" w:lineRule="auto"/>
              <w:jc w:val="center"/>
              <w:rPr>
                <w:rFonts w:hint="eastAsia" w:ascii="宋体" w:hAnsi="宋体" w:cs="宋体"/>
                <w:bCs/>
                <w:color w:val="000000"/>
                <w:kern w:val="0"/>
                <w:sz w:val="18"/>
                <w:szCs w:val="18"/>
                <w:highlight w:val="none"/>
                <w:lang w:val="zh-CN"/>
              </w:rPr>
            </w:pPr>
          </w:p>
        </w:tc>
        <w:tc>
          <w:tcPr>
            <w:tcW w:w="1032" w:type="dxa"/>
          </w:tcPr>
          <w:p w14:paraId="443EFD93">
            <w:pPr>
              <w:spacing w:line="240" w:lineRule="auto"/>
              <w:jc w:val="center"/>
              <w:rPr>
                <w:rFonts w:hint="eastAsia" w:ascii="宋体" w:hAnsi="宋体" w:cs="宋体"/>
                <w:bCs/>
                <w:color w:val="000000"/>
                <w:kern w:val="0"/>
                <w:sz w:val="18"/>
                <w:szCs w:val="18"/>
                <w:highlight w:val="none"/>
                <w:lang w:val="zh-CN"/>
              </w:rPr>
            </w:pPr>
          </w:p>
        </w:tc>
        <w:tc>
          <w:tcPr>
            <w:tcW w:w="1032" w:type="dxa"/>
          </w:tcPr>
          <w:p w14:paraId="3F92CD04">
            <w:pPr>
              <w:spacing w:line="240" w:lineRule="auto"/>
              <w:jc w:val="center"/>
              <w:rPr>
                <w:rFonts w:hint="eastAsia" w:ascii="宋体" w:hAnsi="宋体" w:cs="宋体"/>
                <w:bCs/>
                <w:color w:val="000000"/>
                <w:kern w:val="0"/>
                <w:sz w:val="18"/>
                <w:szCs w:val="18"/>
                <w:highlight w:val="none"/>
                <w:lang w:val="zh-CN"/>
              </w:rPr>
            </w:pPr>
          </w:p>
        </w:tc>
        <w:tc>
          <w:tcPr>
            <w:tcW w:w="3792" w:type="dxa"/>
          </w:tcPr>
          <w:p w14:paraId="7DCFD968">
            <w:pPr>
              <w:spacing w:line="240" w:lineRule="auto"/>
              <w:jc w:val="center"/>
              <w:rPr>
                <w:rFonts w:hint="eastAsia" w:ascii="宋体" w:hAnsi="宋体" w:cs="宋体"/>
                <w:bCs/>
                <w:color w:val="000000"/>
                <w:kern w:val="0"/>
                <w:sz w:val="18"/>
                <w:szCs w:val="18"/>
                <w:highlight w:val="none"/>
                <w:lang w:val="zh-CN"/>
              </w:rPr>
            </w:pPr>
          </w:p>
        </w:tc>
        <w:tc>
          <w:tcPr>
            <w:tcW w:w="1125" w:type="dxa"/>
          </w:tcPr>
          <w:p w14:paraId="29D46B82">
            <w:pPr>
              <w:spacing w:line="240" w:lineRule="auto"/>
              <w:jc w:val="center"/>
              <w:rPr>
                <w:rFonts w:hint="eastAsia" w:ascii="宋体" w:hAnsi="宋体" w:cs="宋体"/>
                <w:bCs/>
                <w:color w:val="000000"/>
                <w:kern w:val="0"/>
                <w:sz w:val="18"/>
                <w:szCs w:val="18"/>
                <w:highlight w:val="none"/>
                <w:lang w:val="zh-CN"/>
              </w:rPr>
            </w:pPr>
          </w:p>
        </w:tc>
      </w:tr>
      <w:tr w14:paraId="30B03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tcPr>
          <w:p w14:paraId="428F3DB6">
            <w:pPr>
              <w:spacing w:line="240" w:lineRule="auto"/>
              <w:jc w:val="center"/>
              <w:rPr>
                <w:rFonts w:hint="eastAsia" w:ascii="宋体" w:hAnsi="宋体" w:cs="宋体"/>
                <w:bCs/>
                <w:color w:val="000000"/>
                <w:kern w:val="0"/>
                <w:sz w:val="18"/>
                <w:szCs w:val="18"/>
                <w:highlight w:val="none"/>
                <w:lang w:val="zh-CN"/>
              </w:rPr>
            </w:pPr>
          </w:p>
        </w:tc>
        <w:tc>
          <w:tcPr>
            <w:tcW w:w="1031" w:type="dxa"/>
          </w:tcPr>
          <w:p w14:paraId="0C3F37BA">
            <w:pPr>
              <w:spacing w:line="240" w:lineRule="auto"/>
              <w:jc w:val="center"/>
              <w:rPr>
                <w:rFonts w:hint="eastAsia" w:ascii="宋体" w:hAnsi="宋体" w:cs="宋体"/>
                <w:bCs/>
                <w:color w:val="000000"/>
                <w:kern w:val="0"/>
                <w:sz w:val="18"/>
                <w:szCs w:val="18"/>
                <w:highlight w:val="none"/>
                <w:lang w:val="zh-CN"/>
              </w:rPr>
            </w:pPr>
          </w:p>
        </w:tc>
        <w:tc>
          <w:tcPr>
            <w:tcW w:w="1032" w:type="dxa"/>
          </w:tcPr>
          <w:p w14:paraId="70498E6B">
            <w:pPr>
              <w:spacing w:line="240" w:lineRule="auto"/>
              <w:jc w:val="center"/>
              <w:rPr>
                <w:rFonts w:hint="eastAsia" w:ascii="宋体" w:hAnsi="宋体" w:cs="宋体"/>
                <w:bCs/>
                <w:color w:val="000000"/>
                <w:kern w:val="0"/>
                <w:sz w:val="18"/>
                <w:szCs w:val="18"/>
                <w:highlight w:val="none"/>
                <w:lang w:val="zh-CN"/>
              </w:rPr>
            </w:pPr>
          </w:p>
        </w:tc>
        <w:tc>
          <w:tcPr>
            <w:tcW w:w="1032" w:type="dxa"/>
          </w:tcPr>
          <w:p w14:paraId="50E99362">
            <w:pPr>
              <w:spacing w:line="240" w:lineRule="auto"/>
              <w:jc w:val="center"/>
              <w:rPr>
                <w:rFonts w:hint="eastAsia" w:ascii="宋体" w:hAnsi="宋体" w:cs="宋体"/>
                <w:bCs/>
                <w:color w:val="000000"/>
                <w:kern w:val="0"/>
                <w:sz w:val="18"/>
                <w:szCs w:val="18"/>
                <w:highlight w:val="none"/>
                <w:lang w:val="zh-CN"/>
              </w:rPr>
            </w:pPr>
          </w:p>
        </w:tc>
        <w:tc>
          <w:tcPr>
            <w:tcW w:w="1032" w:type="dxa"/>
          </w:tcPr>
          <w:p w14:paraId="2BC801D3">
            <w:pPr>
              <w:spacing w:line="240" w:lineRule="auto"/>
              <w:jc w:val="center"/>
              <w:rPr>
                <w:rFonts w:hint="eastAsia" w:ascii="宋体" w:hAnsi="宋体" w:cs="宋体"/>
                <w:bCs/>
                <w:color w:val="000000"/>
                <w:kern w:val="0"/>
                <w:sz w:val="18"/>
                <w:szCs w:val="18"/>
                <w:highlight w:val="none"/>
                <w:lang w:val="zh-CN"/>
              </w:rPr>
            </w:pPr>
          </w:p>
        </w:tc>
        <w:tc>
          <w:tcPr>
            <w:tcW w:w="1032" w:type="dxa"/>
          </w:tcPr>
          <w:p w14:paraId="32FAD2B8">
            <w:pPr>
              <w:spacing w:line="240" w:lineRule="auto"/>
              <w:jc w:val="center"/>
              <w:rPr>
                <w:rFonts w:hint="eastAsia" w:ascii="宋体" w:hAnsi="宋体" w:cs="宋体"/>
                <w:bCs/>
                <w:color w:val="000000"/>
                <w:kern w:val="0"/>
                <w:sz w:val="18"/>
                <w:szCs w:val="18"/>
                <w:highlight w:val="none"/>
                <w:lang w:val="zh-CN"/>
              </w:rPr>
            </w:pPr>
          </w:p>
        </w:tc>
        <w:tc>
          <w:tcPr>
            <w:tcW w:w="3792" w:type="dxa"/>
          </w:tcPr>
          <w:p w14:paraId="5B72B93B">
            <w:pPr>
              <w:spacing w:line="240" w:lineRule="auto"/>
              <w:jc w:val="center"/>
              <w:rPr>
                <w:rFonts w:hint="eastAsia" w:ascii="宋体" w:hAnsi="宋体" w:cs="宋体"/>
                <w:bCs/>
                <w:color w:val="000000"/>
                <w:kern w:val="0"/>
                <w:sz w:val="18"/>
                <w:szCs w:val="18"/>
                <w:highlight w:val="none"/>
                <w:lang w:val="zh-CN"/>
              </w:rPr>
            </w:pPr>
          </w:p>
        </w:tc>
        <w:tc>
          <w:tcPr>
            <w:tcW w:w="1125" w:type="dxa"/>
          </w:tcPr>
          <w:p w14:paraId="5B38E4D9">
            <w:pPr>
              <w:spacing w:line="240" w:lineRule="auto"/>
              <w:jc w:val="center"/>
              <w:rPr>
                <w:rFonts w:hint="eastAsia" w:ascii="宋体" w:hAnsi="宋体" w:cs="宋体"/>
                <w:bCs/>
                <w:color w:val="000000"/>
                <w:kern w:val="0"/>
                <w:sz w:val="18"/>
                <w:szCs w:val="18"/>
                <w:highlight w:val="none"/>
                <w:lang w:val="zh-CN"/>
              </w:rPr>
            </w:pPr>
          </w:p>
        </w:tc>
      </w:tr>
    </w:tbl>
    <w:p w14:paraId="40B0D15D">
      <w:pPr>
        <w:spacing w:line="240" w:lineRule="auto"/>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注：行数不够可自行增加。</w:t>
      </w:r>
    </w:p>
    <w:p w14:paraId="5A5CB294">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313BB0C8">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目录四、资格证明文件（详见《招标邀请函》四、供应商资质要求）</w:t>
      </w:r>
    </w:p>
    <w:p w14:paraId="59F9BA67">
      <w:pPr>
        <w:widowControl/>
        <w:snapToGri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目录五、技术条款偏离表格式</w:t>
      </w:r>
    </w:p>
    <w:p w14:paraId="5C70E1C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技术条款偏离表</w:t>
      </w:r>
    </w:p>
    <w:tbl>
      <w:tblPr>
        <w:tblStyle w:val="8"/>
        <w:tblW w:w="11221" w:type="dxa"/>
        <w:jc w:val="center"/>
        <w:tblLayout w:type="fixed"/>
        <w:tblCellMar>
          <w:top w:w="0" w:type="dxa"/>
          <w:left w:w="0" w:type="dxa"/>
          <w:bottom w:w="0" w:type="dxa"/>
          <w:right w:w="0" w:type="dxa"/>
        </w:tblCellMar>
      </w:tblPr>
      <w:tblGrid>
        <w:gridCol w:w="1032"/>
        <w:gridCol w:w="2175"/>
        <w:gridCol w:w="2145"/>
        <w:gridCol w:w="1411"/>
        <w:gridCol w:w="1829"/>
        <w:gridCol w:w="2629"/>
      </w:tblGrid>
      <w:tr w14:paraId="3E025588">
        <w:tblPrEx>
          <w:tblCellMar>
            <w:top w:w="0" w:type="dxa"/>
            <w:left w:w="0" w:type="dxa"/>
            <w:bottom w:w="0" w:type="dxa"/>
            <w:right w:w="0" w:type="dxa"/>
          </w:tblCellMar>
        </w:tblPrEx>
        <w:trPr>
          <w:trHeight w:val="284" w:hRule="atLeast"/>
          <w:jc w:val="center"/>
        </w:trPr>
        <w:tc>
          <w:tcPr>
            <w:tcW w:w="6763" w:type="dxa"/>
            <w:gridSpan w:val="4"/>
            <w:tcBorders>
              <w:top w:val="nil"/>
              <w:left w:val="nil"/>
              <w:bottom w:val="single" w:color="auto" w:sz="6" w:space="0"/>
              <w:right w:val="nil"/>
            </w:tcBorders>
            <w:vAlign w:val="center"/>
          </w:tcPr>
          <w:p w14:paraId="71925965">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4458" w:type="dxa"/>
            <w:gridSpan w:val="2"/>
            <w:tcBorders>
              <w:top w:val="nil"/>
              <w:left w:val="nil"/>
              <w:bottom w:val="single" w:color="auto" w:sz="6" w:space="0"/>
              <w:right w:val="nil"/>
            </w:tcBorders>
            <w:vAlign w:val="center"/>
          </w:tcPr>
          <w:p w14:paraId="167C6A2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15BD618B">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7A980EAE">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2175" w:type="dxa"/>
            <w:tcBorders>
              <w:top w:val="single" w:color="auto" w:sz="6" w:space="0"/>
              <w:left w:val="single" w:color="auto" w:sz="6" w:space="0"/>
              <w:bottom w:val="single" w:color="auto" w:sz="6" w:space="0"/>
              <w:right w:val="single" w:color="auto" w:sz="6" w:space="0"/>
            </w:tcBorders>
            <w:vAlign w:val="center"/>
          </w:tcPr>
          <w:p w14:paraId="367825F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145" w:type="dxa"/>
            <w:tcBorders>
              <w:top w:val="single" w:color="auto" w:sz="6" w:space="0"/>
              <w:left w:val="single" w:color="auto" w:sz="6" w:space="0"/>
              <w:bottom w:val="single" w:color="auto" w:sz="6" w:space="0"/>
              <w:right w:val="single" w:color="auto" w:sz="6" w:space="0"/>
            </w:tcBorders>
            <w:vAlign w:val="center"/>
          </w:tcPr>
          <w:p w14:paraId="3A555F34">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78322BFF">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/偏离</w:t>
            </w:r>
          </w:p>
        </w:tc>
        <w:tc>
          <w:tcPr>
            <w:tcW w:w="2629" w:type="dxa"/>
            <w:tcBorders>
              <w:top w:val="single" w:color="auto" w:sz="6" w:space="0"/>
              <w:left w:val="single" w:color="auto" w:sz="6" w:space="0"/>
              <w:bottom w:val="single" w:color="auto" w:sz="6" w:space="0"/>
              <w:right w:val="single" w:color="auto" w:sz="6" w:space="0"/>
            </w:tcBorders>
            <w:vAlign w:val="center"/>
          </w:tcPr>
          <w:p w14:paraId="37CEDB3C">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3E273A9">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D53D5AF">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3439594A">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17234700">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3F6779AE">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7FB3E844">
            <w:pPr>
              <w:widowControl/>
              <w:adjustRightInd w:val="0"/>
              <w:spacing w:line="240" w:lineRule="auto"/>
              <w:jc w:val="center"/>
              <w:rPr>
                <w:rFonts w:hint="eastAsia" w:ascii="宋体" w:hAnsi="宋体" w:cs="宋体"/>
                <w:color w:val="000000"/>
                <w:kern w:val="0"/>
                <w:sz w:val="18"/>
                <w:szCs w:val="18"/>
                <w:highlight w:val="none"/>
                <w:lang w:val="zh-CN"/>
              </w:rPr>
            </w:pPr>
          </w:p>
        </w:tc>
      </w:tr>
      <w:tr w14:paraId="106F0F00">
        <w:tblPrEx>
          <w:tblCellMar>
            <w:top w:w="0" w:type="dxa"/>
            <w:left w:w="0" w:type="dxa"/>
            <w:bottom w:w="0" w:type="dxa"/>
            <w:right w:w="0" w:type="dxa"/>
          </w:tblCellMar>
        </w:tblPrEx>
        <w:trPr>
          <w:trHeight w:val="284" w:hRule="atLeast"/>
          <w:jc w:val="center"/>
        </w:trPr>
        <w:tc>
          <w:tcPr>
            <w:tcW w:w="1032" w:type="dxa"/>
            <w:tcBorders>
              <w:top w:val="single" w:color="auto" w:sz="6" w:space="0"/>
              <w:left w:val="single" w:color="auto" w:sz="6" w:space="0"/>
              <w:bottom w:val="single" w:color="auto" w:sz="6" w:space="0"/>
              <w:right w:val="single" w:color="auto" w:sz="6" w:space="0"/>
            </w:tcBorders>
            <w:vAlign w:val="center"/>
          </w:tcPr>
          <w:p w14:paraId="117BF716">
            <w:pPr>
              <w:widowControl/>
              <w:adjustRightInd w:val="0"/>
              <w:spacing w:line="240" w:lineRule="auto"/>
              <w:jc w:val="center"/>
              <w:rPr>
                <w:rFonts w:hint="eastAsia" w:ascii="宋体" w:hAnsi="宋体" w:cs="宋体"/>
                <w:color w:val="000000"/>
                <w:kern w:val="0"/>
                <w:sz w:val="18"/>
                <w:szCs w:val="18"/>
                <w:highlight w:val="none"/>
                <w:lang w:val="zh-CN"/>
              </w:rPr>
            </w:pPr>
          </w:p>
        </w:tc>
        <w:tc>
          <w:tcPr>
            <w:tcW w:w="2175" w:type="dxa"/>
            <w:tcBorders>
              <w:top w:val="single" w:color="auto" w:sz="6" w:space="0"/>
              <w:left w:val="single" w:color="auto" w:sz="6" w:space="0"/>
              <w:bottom w:val="single" w:color="auto" w:sz="6" w:space="0"/>
              <w:right w:val="single" w:color="auto" w:sz="6" w:space="0"/>
            </w:tcBorders>
            <w:vAlign w:val="center"/>
          </w:tcPr>
          <w:p w14:paraId="5BC2AE8E">
            <w:pPr>
              <w:widowControl/>
              <w:adjustRightInd w:val="0"/>
              <w:spacing w:line="240" w:lineRule="auto"/>
              <w:jc w:val="center"/>
              <w:rPr>
                <w:rFonts w:hint="eastAsia" w:ascii="宋体" w:hAnsi="宋体" w:cs="宋体"/>
                <w:color w:val="000000"/>
                <w:kern w:val="0"/>
                <w:sz w:val="18"/>
                <w:szCs w:val="18"/>
                <w:highlight w:val="none"/>
                <w:lang w:val="zh-CN"/>
              </w:rPr>
            </w:pPr>
          </w:p>
        </w:tc>
        <w:tc>
          <w:tcPr>
            <w:tcW w:w="2145" w:type="dxa"/>
            <w:tcBorders>
              <w:top w:val="single" w:color="auto" w:sz="6" w:space="0"/>
              <w:left w:val="single" w:color="auto" w:sz="6" w:space="0"/>
              <w:bottom w:val="single" w:color="auto" w:sz="6" w:space="0"/>
              <w:right w:val="single" w:color="auto" w:sz="6" w:space="0"/>
            </w:tcBorders>
            <w:vAlign w:val="center"/>
          </w:tcPr>
          <w:p w14:paraId="56AF53D4">
            <w:pPr>
              <w:widowControl/>
              <w:adjustRightInd w:val="0"/>
              <w:spacing w:line="240" w:lineRule="auto"/>
              <w:jc w:val="center"/>
              <w:rPr>
                <w:rFonts w:hint="eastAsia" w:ascii="宋体" w:hAnsi="宋体" w:cs="宋体"/>
                <w:color w:val="000000"/>
                <w:kern w:val="0"/>
                <w:sz w:val="18"/>
                <w:szCs w:val="18"/>
                <w:highlight w:val="none"/>
                <w:lang w:val="zh-CN"/>
              </w:rPr>
            </w:pPr>
          </w:p>
        </w:tc>
        <w:tc>
          <w:tcPr>
            <w:tcW w:w="3240" w:type="dxa"/>
            <w:gridSpan w:val="2"/>
            <w:tcBorders>
              <w:top w:val="single" w:color="auto" w:sz="6" w:space="0"/>
              <w:left w:val="single" w:color="auto" w:sz="6" w:space="0"/>
              <w:bottom w:val="single" w:color="auto" w:sz="6" w:space="0"/>
              <w:right w:val="single" w:color="auto" w:sz="6" w:space="0"/>
            </w:tcBorders>
            <w:vAlign w:val="center"/>
          </w:tcPr>
          <w:p w14:paraId="1F2FC87B">
            <w:pPr>
              <w:widowControl/>
              <w:adjustRightInd w:val="0"/>
              <w:spacing w:line="240" w:lineRule="auto"/>
              <w:jc w:val="center"/>
              <w:rPr>
                <w:rFonts w:hint="eastAsia" w:ascii="宋体" w:hAnsi="宋体" w:cs="宋体"/>
                <w:color w:val="000000"/>
                <w:kern w:val="0"/>
                <w:sz w:val="18"/>
                <w:szCs w:val="18"/>
                <w:highlight w:val="none"/>
                <w:lang w:val="zh-CN"/>
              </w:rPr>
            </w:pPr>
          </w:p>
        </w:tc>
        <w:tc>
          <w:tcPr>
            <w:tcW w:w="2629" w:type="dxa"/>
            <w:tcBorders>
              <w:top w:val="single" w:color="auto" w:sz="6" w:space="0"/>
              <w:left w:val="single" w:color="auto" w:sz="6" w:space="0"/>
              <w:bottom w:val="single" w:color="auto" w:sz="6" w:space="0"/>
              <w:right w:val="single" w:color="auto" w:sz="6" w:space="0"/>
            </w:tcBorders>
            <w:vAlign w:val="center"/>
          </w:tcPr>
          <w:p w14:paraId="072ACFB5">
            <w:pPr>
              <w:widowControl/>
              <w:adjustRightInd w:val="0"/>
              <w:spacing w:line="240" w:lineRule="auto"/>
              <w:jc w:val="center"/>
              <w:rPr>
                <w:rFonts w:hint="eastAsia" w:ascii="宋体" w:hAnsi="宋体" w:cs="宋体"/>
                <w:color w:val="000000"/>
                <w:kern w:val="0"/>
                <w:sz w:val="18"/>
                <w:szCs w:val="18"/>
                <w:highlight w:val="none"/>
                <w:lang w:val="zh-CN"/>
              </w:rPr>
            </w:pPr>
          </w:p>
        </w:tc>
      </w:tr>
    </w:tbl>
    <w:p w14:paraId="54A1ED3F">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63177DF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说明：如果行数不够，请自行增加。请供应商对招标文件内的技术条款进行逐条响应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1747BAFB">
      <w:pPr>
        <w:widowControl/>
        <w:adjustRightInd w:val="0"/>
        <w:spacing w:line="240" w:lineRule="auto"/>
        <w:jc w:val="left"/>
        <w:rPr>
          <w:rFonts w:hint="eastAsia" w:ascii="宋体" w:hAnsi="宋体" w:cs="宋体"/>
          <w:b/>
          <w:color w:val="000000"/>
          <w:kern w:val="0"/>
          <w:sz w:val="18"/>
          <w:szCs w:val="18"/>
          <w:highlight w:val="none"/>
          <w:lang w:val="zh-CN"/>
        </w:rPr>
      </w:pPr>
      <w:r>
        <w:rPr>
          <w:rFonts w:hint="eastAsia" w:ascii="宋体" w:hAnsi="宋体" w:cs="宋体"/>
          <w:b/>
          <w:color w:val="000000"/>
          <w:kern w:val="0"/>
          <w:sz w:val="18"/>
          <w:szCs w:val="18"/>
          <w:highlight w:val="none"/>
          <w:lang w:val="zh-CN"/>
        </w:rPr>
        <w:t>目录六、服务条款偏离表格式</w:t>
      </w:r>
    </w:p>
    <w:p w14:paraId="35DCF1A5">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服务条款偏离表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2"/>
        <w:gridCol w:w="1619"/>
        <w:gridCol w:w="2699"/>
        <w:gridCol w:w="1414"/>
        <w:gridCol w:w="1457"/>
        <w:gridCol w:w="1964"/>
      </w:tblGrid>
      <w:tr w14:paraId="457B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694" w:type="dxa"/>
            <w:gridSpan w:val="4"/>
            <w:tcBorders>
              <w:top w:val="nil"/>
              <w:left w:val="nil"/>
              <w:bottom w:val="single" w:color="auto" w:sz="4" w:space="0"/>
              <w:right w:val="nil"/>
            </w:tcBorders>
            <w:vAlign w:val="center"/>
          </w:tcPr>
          <w:p w14:paraId="782F253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3421" w:type="dxa"/>
            <w:gridSpan w:val="2"/>
            <w:tcBorders>
              <w:top w:val="nil"/>
              <w:left w:val="nil"/>
              <w:bottom w:val="single" w:color="auto" w:sz="4" w:space="0"/>
              <w:right w:val="nil"/>
            </w:tcBorders>
            <w:vAlign w:val="center"/>
          </w:tcPr>
          <w:p w14:paraId="43B302B3">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r>
              <w:rPr>
                <w:rFonts w:hint="eastAsia" w:ascii="宋体" w:hAnsi="宋体" w:cs="宋体"/>
                <w:b/>
                <w:color w:val="000000"/>
                <w:sz w:val="18"/>
                <w:szCs w:val="18"/>
                <w:highlight w:val="none"/>
                <w:u w:val="single"/>
                <w:lang w:val="zh-CN"/>
              </w:rPr>
              <w:t xml:space="preserve">                </w:t>
            </w:r>
          </w:p>
        </w:tc>
      </w:tr>
      <w:tr w14:paraId="7D5F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28267B5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619" w:type="dxa"/>
            <w:tcBorders>
              <w:top w:val="single" w:color="auto" w:sz="4" w:space="0"/>
              <w:left w:val="single" w:color="auto" w:sz="4" w:space="0"/>
              <w:bottom w:val="single" w:color="auto" w:sz="4" w:space="0"/>
              <w:right w:val="single" w:color="auto" w:sz="4" w:space="0"/>
            </w:tcBorders>
            <w:vAlign w:val="center"/>
          </w:tcPr>
          <w:p w14:paraId="675696A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磋商文件条目号</w:t>
            </w:r>
          </w:p>
        </w:tc>
        <w:tc>
          <w:tcPr>
            <w:tcW w:w="2699" w:type="dxa"/>
            <w:tcBorders>
              <w:top w:val="single" w:color="auto" w:sz="4" w:space="0"/>
              <w:left w:val="single" w:color="auto" w:sz="4" w:space="0"/>
              <w:bottom w:val="single" w:color="auto" w:sz="4" w:space="0"/>
              <w:right w:val="single" w:color="auto" w:sz="4" w:space="0"/>
            </w:tcBorders>
            <w:vAlign w:val="center"/>
          </w:tcPr>
          <w:p w14:paraId="7FDDE9D7">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磋商要求规格</w:t>
            </w: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7F60DC41">
            <w:pPr>
              <w:widowControl/>
              <w:adjustRightInd w:val="0"/>
              <w:spacing w:line="240" w:lineRule="auto"/>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lang w:val="zh-CN"/>
              </w:rPr>
              <w:t>供应商响应</w:t>
            </w:r>
            <w:r>
              <w:rPr>
                <w:rFonts w:hint="eastAsia" w:ascii="宋体" w:hAnsi="宋体" w:cs="宋体"/>
                <w:color w:val="000000"/>
                <w:kern w:val="0"/>
                <w:sz w:val="18"/>
                <w:szCs w:val="18"/>
                <w:highlight w:val="none"/>
              </w:rPr>
              <w:t>/</w:t>
            </w:r>
            <w:r>
              <w:rPr>
                <w:rFonts w:hint="eastAsia" w:ascii="宋体" w:hAnsi="宋体" w:cs="宋体"/>
                <w:color w:val="000000"/>
                <w:kern w:val="0"/>
                <w:sz w:val="18"/>
                <w:szCs w:val="18"/>
                <w:highlight w:val="none"/>
                <w:lang w:val="zh-CN"/>
              </w:rPr>
              <w:t>偏离</w:t>
            </w:r>
          </w:p>
        </w:tc>
        <w:tc>
          <w:tcPr>
            <w:tcW w:w="1964" w:type="dxa"/>
            <w:tcBorders>
              <w:top w:val="single" w:color="auto" w:sz="4" w:space="0"/>
              <w:left w:val="single" w:color="auto" w:sz="4" w:space="0"/>
              <w:bottom w:val="single" w:color="auto" w:sz="4" w:space="0"/>
              <w:right w:val="single" w:color="auto" w:sz="4" w:space="0"/>
            </w:tcBorders>
            <w:vAlign w:val="center"/>
          </w:tcPr>
          <w:p w14:paraId="41EEB34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证明材料对应页码</w:t>
            </w:r>
          </w:p>
        </w:tc>
      </w:tr>
      <w:tr w14:paraId="373A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C312D10">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659AB81F">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7B965A05">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2086D13">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84D441A">
            <w:pPr>
              <w:widowControl/>
              <w:adjustRightInd w:val="0"/>
              <w:spacing w:line="240" w:lineRule="auto"/>
              <w:jc w:val="center"/>
              <w:rPr>
                <w:rFonts w:hint="eastAsia" w:ascii="宋体" w:hAnsi="宋体" w:cs="宋体"/>
                <w:color w:val="000000"/>
                <w:kern w:val="0"/>
                <w:sz w:val="18"/>
                <w:szCs w:val="18"/>
                <w:highlight w:val="none"/>
                <w:lang w:val="zh-CN"/>
              </w:rPr>
            </w:pPr>
          </w:p>
        </w:tc>
      </w:tr>
      <w:tr w14:paraId="6768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62" w:type="dxa"/>
            <w:tcBorders>
              <w:top w:val="single" w:color="auto" w:sz="4" w:space="0"/>
              <w:left w:val="single" w:color="auto" w:sz="4" w:space="0"/>
              <w:bottom w:val="single" w:color="auto" w:sz="4" w:space="0"/>
              <w:right w:val="single" w:color="auto" w:sz="4" w:space="0"/>
            </w:tcBorders>
            <w:vAlign w:val="center"/>
          </w:tcPr>
          <w:p w14:paraId="54241A34">
            <w:pPr>
              <w:widowControl/>
              <w:adjustRightInd w:val="0"/>
              <w:spacing w:line="240" w:lineRule="auto"/>
              <w:jc w:val="center"/>
              <w:rPr>
                <w:rFonts w:hint="eastAsia" w:ascii="宋体" w:hAnsi="宋体" w:cs="宋体"/>
                <w:color w:val="000000"/>
                <w:kern w:val="0"/>
                <w:sz w:val="18"/>
                <w:szCs w:val="18"/>
                <w:highlight w:val="none"/>
                <w:lang w:val="zh-CN"/>
              </w:rPr>
            </w:pPr>
          </w:p>
        </w:tc>
        <w:tc>
          <w:tcPr>
            <w:tcW w:w="1619" w:type="dxa"/>
            <w:tcBorders>
              <w:top w:val="single" w:color="auto" w:sz="4" w:space="0"/>
              <w:left w:val="single" w:color="auto" w:sz="4" w:space="0"/>
              <w:bottom w:val="single" w:color="auto" w:sz="4" w:space="0"/>
              <w:right w:val="single" w:color="auto" w:sz="4" w:space="0"/>
            </w:tcBorders>
            <w:vAlign w:val="center"/>
          </w:tcPr>
          <w:p w14:paraId="080E31A2">
            <w:pPr>
              <w:widowControl/>
              <w:adjustRightInd w:val="0"/>
              <w:spacing w:line="240" w:lineRule="auto"/>
              <w:jc w:val="center"/>
              <w:rPr>
                <w:rFonts w:hint="eastAsia" w:ascii="宋体" w:hAnsi="宋体" w:cs="宋体"/>
                <w:color w:val="000000"/>
                <w:kern w:val="0"/>
                <w:sz w:val="18"/>
                <w:szCs w:val="18"/>
                <w:highlight w:val="none"/>
                <w:lang w:val="zh-CN"/>
              </w:rPr>
            </w:pPr>
          </w:p>
        </w:tc>
        <w:tc>
          <w:tcPr>
            <w:tcW w:w="2699" w:type="dxa"/>
            <w:tcBorders>
              <w:top w:val="single" w:color="auto" w:sz="4" w:space="0"/>
              <w:left w:val="single" w:color="auto" w:sz="4" w:space="0"/>
              <w:bottom w:val="single" w:color="auto" w:sz="4" w:space="0"/>
              <w:right w:val="single" w:color="auto" w:sz="4" w:space="0"/>
            </w:tcBorders>
            <w:vAlign w:val="center"/>
          </w:tcPr>
          <w:p w14:paraId="2392C72E">
            <w:pPr>
              <w:widowControl/>
              <w:adjustRightInd w:val="0"/>
              <w:spacing w:line="240" w:lineRule="auto"/>
              <w:jc w:val="center"/>
              <w:rPr>
                <w:rFonts w:hint="eastAsia" w:ascii="宋体" w:hAnsi="宋体" w:cs="宋体"/>
                <w:color w:val="000000"/>
                <w:kern w:val="0"/>
                <w:sz w:val="18"/>
                <w:szCs w:val="18"/>
                <w:highlight w:val="none"/>
                <w:lang w:val="zh-CN"/>
              </w:rPr>
            </w:pPr>
          </w:p>
        </w:tc>
        <w:tc>
          <w:tcPr>
            <w:tcW w:w="2871" w:type="dxa"/>
            <w:gridSpan w:val="2"/>
            <w:tcBorders>
              <w:top w:val="single" w:color="auto" w:sz="4" w:space="0"/>
              <w:left w:val="single" w:color="auto" w:sz="4" w:space="0"/>
              <w:bottom w:val="single" w:color="auto" w:sz="4" w:space="0"/>
              <w:right w:val="single" w:color="auto" w:sz="4" w:space="0"/>
            </w:tcBorders>
            <w:vAlign w:val="center"/>
          </w:tcPr>
          <w:p w14:paraId="50EFF372">
            <w:pPr>
              <w:widowControl/>
              <w:adjustRightInd w:val="0"/>
              <w:spacing w:line="240" w:lineRule="auto"/>
              <w:jc w:val="center"/>
              <w:rPr>
                <w:rFonts w:hint="eastAsia" w:ascii="宋体" w:hAnsi="宋体" w:cs="宋体"/>
                <w:color w:val="000000"/>
                <w:kern w:val="0"/>
                <w:sz w:val="18"/>
                <w:szCs w:val="18"/>
                <w:highlight w:val="none"/>
                <w:lang w:val="zh-CN"/>
              </w:rPr>
            </w:pPr>
          </w:p>
        </w:tc>
        <w:tc>
          <w:tcPr>
            <w:tcW w:w="1964" w:type="dxa"/>
            <w:tcBorders>
              <w:top w:val="single" w:color="auto" w:sz="4" w:space="0"/>
              <w:left w:val="single" w:color="auto" w:sz="4" w:space="0"/>
              <w:bottom w:val="single" w:color="auto" w:sz="4" w:space="0"/>
              <w:right w:val="single" w:color="auto" w:sz="4" w:space="0"/>
            </w:tcBorders>
            <w:vAlign w:val="center"/>
          </w:tcPr>
          <w:p w14:paraId="205B3E0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3B11EA36">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供应商名称：</w:t>
      </w:r>
      <w:r>
        <w:rPr>
          <w:rFonts w:hint="eastAsia" w:ascii="宋体" w:hAnsi="宋体" w:cs="宋体"/>
          <w:color w:val="000000"/>
          <w:kern w:val="0"/>
          <w:sz w:val="18"/>
          <w:szCs w:val="18"/>
          <w:highlight w:val="none"/>
          <w:u w:val="single"/>
          <w:lang w:val="zh-CN"/>
        </w:rPr>
        <w:t xml:space="preserve">                                                      </w:t>
      </w:r>
      <w:r>
        <w:rPr>
          <w:rFonts w:hint="eastAsia" w:ascii="宋体" w:hAnsi="宋体" w:cs="宋体"/>
          <w:color w:val="000000"/>
          <w:kern w:val="0"/>
          <w:sz w:val="18"/>
          <w:szCs w:val="18"/>
          <w:highlight w:val="none"/>
          <w:lang w:val="zh-CN"/>
        </w:rPr>
        <w:t>（盖章）</w:t>
      </w:r>
    </w:p>
    <w:p w14:paraId="3952DC01">
      <w:pPr>
        <w:widowControl/>
        <w:adjustRightInd w:val="0"/>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lang w:val="zh-CN"/>
        </w:rPr>
        <w:t>说明：如果行数不够，请自行增加。请供应商对招标文件内的服务条款进行逐条响应</w:t>
      </w:r>
      <w:r>
        <w:rPr>
          <w:rFonts w:hint="eastAsia" w:ascii="宋体" w:hAnsi="宋体" w:cs="宋体"/>
          <w:color w:val="000000"/>
          <w:kern w:val="0"/>
          <w:sz w:val="18"/>
          <w:szCs w:val="18"/>
          <w:highlight w:val="none"/>
        </w:rPr>
        <w:t>/正偏离/负偏离，如</w:t>
      </w:r>
      <w:r>
        <w:rPr>
          <w:rFonts w:hint="eastAsia" w:ascii="宋体" w:hAnsi="宋体" w:cs="宋体"/>
          <w:color w:val="000000"/>
          <w:kern w:val="0"/>
          <w:sz w:val="18"/>
          <w:szCs w:val="18"/>
          <w:highlight w:val="none"/>
          <w:lang w:val="zh-CN"/>
        </w:rPr>
        <w:t>提供空白或者不全者加盖公章后视为全部响应。</w:t>
      </w:r>
    </w:p>
    <w:p w14:paraId="3ACEE9A8">
      <w:pPr>
        <w:widowControl/>
        <w:snapToGrid w:val="0"/>
        <w:spacing w:line="240" w:lineRule="auto"/>
        <w:jc w:val="left"/>
        <w:rPr>
          <w:rFonts w:hint="eastAsia" w:ascii="宋体" w:hAnsi="宋体" w:cs="宋体"/>
          <w:b/>
          <w:color w:val="000000"/>
          <w:kern w:val="0"/>
          <w:sz w:val="18"/>
          <w:szCs w:val="18"/>
          <w:highlight w:val="none"/>
        </w:rPr>
      </w:pPr>
      <w:r>
        <w:rPr>
          <w:rFonts w:hint="eastAsia" w:ascii="宋体" w:hAnsi="宋体" w:cs="宋体"/>
          <w:b/>
          <w:color w:val="000000"/>
          <w:kern w:val="0"/>
          <w:sz w:val="18"/>
          <w:szCs w:val="18"/>
          <w:highlight w:val="none"/>
        </w:rPr>
        <w:t>目录七、商务条款偏离表格式</w:t>
      </w:r>
    </w:p>
    <w:p w14:paraId="2EE69CF6">
      <w:pPr>
        <w:widowControl/>
        <w:adjustRightInd w:val="0"/>
        <w:spacing w:line="240" w:lineRule="auto"/>
        <w:ind w:left="420"/>
        <w:jc w:val="center"/>
        <w:outlineLvl w:val="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商务条款偏离表</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1"/>
        <w:gridCol w:w="1771"/>
        <w:gridCol w:w="2873"/>
        <w:gridCol w:w="1091"/>
        <w:gridCol w:w="1458"/>
        <w:gridCol w:w="1372"/>
      </w:tblGrid>
      <w:tr w14:paraId="036F7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blHeader/>
          <w:jc w:val="center"/>
        </w:trPr>
        <w:tc>
          <w:tcPr>
            <w:tcW w:w="6386" w:type="dxa"/>
            <w:gridSpan w:val="4"/>
            <w:tcBorders>
              <w:top w:val="nil"/>
              <w:left w:val="nil"/>
              <w:bottom w:val="single" w:color="auto" w:sz="4" w:space="0"/>
              <w:right w:val="nil"/>
            </w:tcBorders>
            <w:vAlign w:val="center"/>
          </w:tcPr>
          <w:p w14:paraId="6020556B">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项目名称：</w:t>
            </w:r>
          </w:p>
        </w:tc>
        <w:tc>
          <w:tcPr>
            <w:tcW w:w="2830" w:type="dxa"/>
            <w:gridSpan w:val="2"/>
            <w:tcBorders>
              <w:top w:val="nil"/>
              <w:left w:val="nil"/>
              <w:bottom w:val="single" w:color="auto" w:sz="4" w:space="0"/>
              <w:right w:val="nil"/>
            </w:tcBorders>
            <w:vAlign w:val="center"/>
          </w:tcPr>
          <w:p w14:paraId="5379D1B9">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项目编号：</w:t>
            </w:r>
          </w:p>
        </w:tc>
      </w:tr>
      <w:tr w14:paraId="1BC8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625EE53">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序号</w:t>
            </w:r>
          </w:p>
        </w:tc>
        <w:tc>
          <w:tcPr>
            <w:tcW w:w="1771" w:type="dxa"/>
            <w:tcBorders>
              <w:top w:val="single" w:color="auto" w:sz="4" w:space="0"/>
              <w:left w:val="single" w:color="auto" w:sz="4" w:space="0"/>
              <w:bottom w:val="single" w:color="auto" w:sz="4" w:space="0"/>
              <w:right w:val="single" w:color="auto" w:sz="4" w:space="0"/>
            </w:tcBorders>
            <w:vAlign w:val="center"/>
          </w:tcPr>
          <w:p w14:paraId="5834D412">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招标文件条目号</w:t>
            </w:r>
          </w:p>
        </w:tc>
        <w:tc>
          <w:tcPr>
            <w:tcW w:w="2873" w:type="dxa"/>
            <w:tcBorders>
              <w:top w:val="single" w:color="auto" w:sz="4" w:space="0"/>
              <w:left w:val="single" w:color="auto" w:sz="4" w:space="0"/>
              <w:bottom w:val="single" w:color="auto" w:sz="4" w:space="0"/>
              <w:right w:val="single" w:color="auto" w:sz="4" w:space="0"/>
            </w:tcBorders>
            <w:vAlign w:val="center"/>
          </w:tcPr>
          <w:p w14:paraId="7DB8A248">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招标文件要求的商务条款</w:t>
            </w: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2F36AC01">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投标响应</w:t>
            </w:r>
          </w:p>
        </w:tc>
        <w:tc>
          <w:tcPr>
            <w:tcW w:w="1372" w:type="dxa"/>
            <w:tcBorders>
              <w:top w:val="single" w:color="auto" w:sz="4" w:space="0"/>
              <w:left w:val="single" w:color="auto" w:sz="4" w:space="0"/>
              <w:bottom w:val="single" w:color="auto" w:sz="4" w:space="0"/>
              <w:right w:val="single" w:color="auto" w:sz="4" w:space="0"/>
            </w:tcBorders>
            <w:vAlign w:val="center"/>
          </w:tcPr>
          <w:p w14:paraId="5F7161FA">
            <w:pPr>
              <w:widowControl/>
              <w:adjustRightInd w:val="0"/>
              <w:spacing w:line="240" w:lineRule="auto"/>
              <w:jc w:val="center"/>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偏离</w:t>
            </w:r>
          </w:p>
        </w:tc>
      </w:tr>
      <w:tr w14:paraId="08B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7928AFF7">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28F3A1A6">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258D2E27">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343067A2">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004870C">
            <w:pPr>
              <w:widowControl/>
              <w:adjustRightInd w:val="0"/>
              <w:spacing w:line="240" w:lineRule="auto"/>
              <w:jc w:val="center"/>
              <w:rPr>
                <w:rFonts w:hint="eastAsia" w:ascii="宋体" w:hAnsi="宋体" w:cs="宋体"/>
                <w:color w:val="000000"/>
                <w:kern w:val="0"/>
                <w:sz w:val="18"/>
                <w:szCs w:val="18"/>
                <w:highlight w:val="none"/>
                <w:lang w:val="zh-CN"/>
              </w:rPr>
            </w:pPr>
          </w:p>
        </w:tc>
      </w:tr>
      <w:tr w14:paraId="0BB8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51" w:type="dxa"/>
            <w:tcBorders>
              <w:top w:val="single" w:color="auto" w:sz="4" w:space="0"/>
              <w:left w:val="single" w:color="auto" w:sz="4" w:space="0"/>
              <w:bottom w:val="single" w:color="auto" w:sz="4" w:space="0"/>
              <w:right w:val="single" w:color="auto" w:sz="4" w:space="0"/>
            </w:tcBorders>
            <w:vAlign w:val="center"/>
          </w:tcPr>
          <w:p w14:paraId="6D89429F">
            <w:pPr>
              <w:widowControl/>
              <w:adjustRightInd w:val="0"/>
              <w:spacing w:line="240" w:lineRule="auto"/>
              <w:jc w:val="center"/>
              <w:rPr>
                <w:rFonts w:hint="eastAsia" w:ascii="宋体" w:hAnsi="宋体" w:cs="宋体"/>
                <w:color w:val="000000"/>
                <w:kern w:val="0"/>
                <w:sz w:val="18"/>
                <w:szCs w:val="18"/>
                <w:highlight w:val="none"/>
                <w:lang w:val="zh-CN"/>
              </w:rPr>
            </w:pPr>
          </w:p>
        </w:tc>
        <w:tc>
          <w:tcPr>
            <w:tcW w:w="1771" w:type="dxa"/>
            <w:tcBorders>
              <w:top w:val="single" w:color="auto" w:sz="4" w:space="0"/>
              <w:left w:val="single" w:color="auto" w:sz="4" w:space="0"/>
              <w:bottom w:val="single" w:color="auto" w:sz="4" w:space="0"/>
              <w:right w:val="single" w:color="auto" w:sz="4" w:space="0"/>
            </w:tcBorders>
            <w:vAlign w:val="center"/>
          </w:tcPr>
          <w:p w14:paraId="45CDD17C">
            <w:pPr>
              <w:widowControl/>
              <w:adjustRightInd w:val="0"/>
              <w:spacing w:line="240" w:lineRule="auto"/>
              <w:jc w:val="center"/>
              <w:rPr>
                <w:rFonts w:hint="eastAsia" w:ascii="宋体" w:hAnsi="宋体" w:cs="宋体"/>
                <w:color w:val="000000"/>
                <w:kern w:val="0"/>
                <w:sz w:val="18"/>
                <w:szCs w:val="18"/>
                <w:highlight w:val="none"/>
                <w:lang w:val="zh-CN"/>
              </w:rPr>
            </w:pPr>
          </w:p>
        </w:tc>
        <w:tc>
          <w:tcPr>
            <w:tcW w:w="2873" w:type="dxa"/>
            <w:tcBorders>
              <w:top w:val="single" w:color="auto" w:sz="4" w:space="0"/>
              <w:left w:val="single" w:color="auto" w:sz="4" w:space="0"/>
              <w:bottom w:val="single" w:color="auto" w:sz="4" w:space="0"/>
              <w:right w:val="single" w:color="auto" w:sz="4" w:space="0"/>
            </w:tcBorders>
            <w:vAlign w:val="center"/>
          </w:tcPr>
          <w:p w14:paraId="03EA687A">
            <w:pPr>
              <w:widowControl/>
              <w:adjustRightInd w:val="0"/>
              <w:spacing w:line="240" w:lineRule="auto"/>
              <w:jc w:val="center"/>
              <w:rPr>
                <w:rFonts w:hint="eastAsia" w:ascii="宋体" w:hAnsi="宋体" w:cs="宋体"/>
                <w:color w:val="000000"/>
                <w:kern w:val="0"/>
                <w:sz w:val="18"/>
                <w:szCs w:val="18"/>
                <w:highlight w:val="none"/>
                <w:lang w:val="zh-CN"/>
              </w:rPr>
            </w:pPr>
          </w:p>
        </w:tc>
        <w:tc>
          <w:tcPr>
            <w:tcW w:w="2549" w:type="dxa"/>
            <w:gridSpan w:val="2"/>
            <w:tcBorders>
              <w:top w:val="single" w:color="auto" w:sz="4" w:space="0"/>
              <w:left w:val="single" w:color="auto" w:sz="4" w:space="0"/>
              <w:bottom w:val="single" w:color="auto" w:sz="4" w:space="0"/>
              <w:right w:val="single" w:color="auto" w:sz="4" w:space="0"/>
            </w:tcBorders>
            <w:vAlign w:val="center"/>
          </w:tcPr>
          <w:p w14:paraId="52B6CF69">
            <w:pPr>
              <w:widowControl/>
              <w:adjustRightInd w:val="0"/>
              <w:spacing w:line="240" w:lineRule="auto"/>
              <w:jc w:val="center"/>
              <w:rPr>
                <w:rFonts w:hint="eastAsia" w:ascii="宋体" w:hAnsi="宋体" w:cs="宋体"/>
                <w:color w:val="000000"/>
                <w:kern w:val="0"/>
                <w:sz w:val="18"/>
                <w:szCs w:val="18"/>
                <w:highlight w:val="none"/>
                <w:lang w:val="zh-CN"/>
              </w:rPr>
            </w:pPr>
          </w:p>
        </w:tc>
        <w:tc>
          <w:tcPr>
            <w:tcW w:w="1372" w:type="dxa"/>
            <w:tcBorders>
              <w:top w:val="single" w:color="auto" w:sz="4" w:space="0"/>
              <w:left w:val="single" w:color="auto" w:sz="4" w:space="0"/>
              <w:bottom w:val="single" w:color="auto" w:sz="4" w:space="0"/>
              <w:right w:val="single" w:color="auto" w:sz="4" w:space="0"/>
            </w:tcBorders>
            <w:vAlign w:val="center"/>
          </w:tcPr>
          <w:p w14:paraId="4A3FC6BC">
            <w:pPr>
              <w:widowControl/>
              <w:adjustRightInd w:val="0"/>
              <w:spacing w:line="240" w:lineRule="auto"/>
              <w:jc w:val="center"/>
              <w:rPr>
                <w:rFonts w:hint="eastAsia" w:ascii="宋体" w:hAnsi="宋体" w:cs="宋体"/>
                <w:color w:val="000000"/>
                <w:kern w:val="0"/>
                <w:sz w:val="18"/>
                <w:szCs w:val="18"/>
                <w:highlight w:val="none"/>
                <w:lang w:val="zh-CN"/>
              </w:rPr>
            </w:pPr>
          </w:p>
        </w:tc>
      </w:tr>
    </w:tbl>
    <w:p w14:paraId="7A75DCF8">
      <w:pPr>
        <w:widowControl/>
        <w:adjustRightInd w:val="0"/>
        <w:spacing w:line="240" w:lineRule="auto"/>
        <w:jc w:val="left"/>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投标人名称：（盖章）</w:t>
      </w:r>
    </w:p>
    <w:p w14:paraId="16AB2177">
      <w:pPr>
        <w:pStyle w:val="4"/>
        <w:spacing w:line="240" w:lineRule="auto"/>
        <w:rPr>
          <w:rFonts w:hint="eastAsia" w:ascii="宋体" w:hAnsi="宋体" w:eastAsia="宋体" w:cs="宋体"/>
          <w:color w:val="000000"/>
          <w:kern w:val="0"/>
          <w:sz w:val="18"/>
          <w:szCs w:val="18"/>
          <w:highlight w:val="none"/>
          <w:lang w:val="zh-CN"/>
        </w:rPr>
      </w:pPr>
      <w:r>
        <w:rPr>
          <w:rFonts w:hint="eastAsia" w:ascii="宋体" w:hAnsi="宋体" w:eastAsia="宋体" w:cs="宋体"/>
          <w:color w:val="000000"/>
          <w:kern w:val="0"/>
          <w:sz w:val="18"/>
          <w:szCs w:val="18"/>
          <w:highlight w:val="none"/>
          <w:lang w:val="zh-CN"/>
        </w:rPr>
        <w:t>说明：如果行数不够，请自行增加；</w:t>
      </w:r>
      <w:r>
        <w:rPr>
          <w:rFonts w:hint="eastAsia" w:ascii="宋体" w:hAnsi="宋体" w:eastAsia="宋体" w:cs="宋体"/>
          <w:color w:val="000000"/>
          <w:kern w:val="0"/>
          <w:sz w:val="18"/>
          <w:szCs w:val="18"/>
          <w:highlight w:val="none"/>
        </w:rPr>
        <w:t>如此表提供空白盖章版，视为全部响应。</w:t>
      </w:r>
    </w:p>
    <w:p w14:paraId="3E2F8003">
      <w:pPr>
        <w:widowControl/>
        <w:shd w:val="clear" w:color="auto" w:fill="FFFFFF"/>
        <w:spacing w:line="240" w:lineRule="auto"/>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投标人名称：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3F4ECC41">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目录八、项目技术与服务方案</w:t>
      </w:r>
    </w:p>
    <w:p w14:paraId="4CFEB94C">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color w:val="000000"/>
          <w:kern w:val="0"/>
          <w:sz w:val="18"/>
          <w:szCs w:val="18"/>
          <w:highlight w:val="none"/>
        </w:rPr>
        <w:t>由供应商根据磋商文件内容要求及评标标准内容自行编写，详尽、完整、易于理解。</w:t>
      </w:r>
    </w:p>
    <w:p w14:paraId="631770B9">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目录九、服务与承诺（格式自拟）</w:t>
      </w:r>
    </w:p>
    <w:p w14:paraId="154C5A6D">
      <w:pPr>
        <w:spacing w:line="240" w:lineRule="auto"/>
        <w:ind w:firstLine="2160" w:firstLineChars="1200"/>
        <w:rPr>
          <w:rFonts w:hint="eastAsia" w:ascii="宋体" w:hAnsi="宋体" w:cs="宋体"/>
          <w:color w:val="000000"/>
          <w:kern w:val="0"/>
          <w:sz w:val="18"/>
          <w:szCs w:val="18"/>
          <w:highlight w:val="none"/>
          <w:lang w:val="zh-CN"/>
        </w:rPr>
      </w:pPr>
      <w:r>
        <w:rPr>
          <w:rFonts w:hint="eastAsia" w:ascii="宋体" w:hAnsi="宋体" w:cs="宋体"/>
          <w:color w:val="000000"/>
          <w:kern w:val="0"/>
          <w:sz w:val="18"/>
          <w:szCs w:val="18"/>
          <w:highlight w:val="none"/>
          <w:lang w:val="zh-CN"/>
        </w:rPr>
        <w:t>服务与承诺</w:t>
      </w:r>
    </w:p>
    <w:p w14:paraId="2D35CCAF">
      <w:pPr>
        <w:autoSpaceDE w:val="0"/>
        <w:autoSpaceDN w:val="0"/>
        <w:adjustRightInd w:val="0"/>
        <w:spacing w:line="240" w:lineRule="auto"/>
        <w:ind w:left="1661" w:leftChars="300" w:hanging="1031" w:hangingChars="573"/>
        <w:rPr>
          <w:rFonts w:hint="eastAsia" w:ascii="宋体" w:hAnsi="宋体" w:cs="宋体"/>
          <w:color w:val="000000"/>
          <w:sz w:val="18"/>
          <w:szCs w:val="18"/>
          <w:highlight w:val="none"/>
        </w:rPr>
      </w:pPr>
      <w:r>
        <w:rPr>
          <w:rFonts w:hint="eastAsia" w:ascii="宋体" w:hAnsi="宋体" w:cs="宋体"/>
          <w:color w:val="000000"/>
          <w:sz w:val="18"/>
          <w:szCs w:val="18"/>
          <w:highlight w:val="none"/>
        </w:rPr>
        <w:t>我公司就项目编号为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的</w:t>
      </w:r>
      <w:r>
        <w:rPr>
          <w:rFonts w:hint="eastAsia" w:ascii="宋体" w:hAnsi="宋体" w:cs="宋体"/>
          <w:color w:val="000000"/>
          <w:sz w:val="18"/>
          <w:szCs w:val="18"/>
          <w:highlight w:val="none"/>
          <w:u w:val="single"/>
        </w:rPr>
        <w:t xml:space="preserve">                       项目</w:t>
      </w:r>
      <w:r>
        <w:rPr>
          <w:rFonts w:hint="eastAsia" w:ascii="宋体" w:hAnsi="宋体" w:cs="宋体"/>
          <w:color w:val="000000"/>
          <w:sz w:val="18"/>
          <w:szCs w:val="18"/>
          <w:highlight w:val="none"/>
        </w:rPr>
        <w:t>服务承诺如下：</w:t>
      </w:r>
    </w:p>
    <w:p w14:paraId="03FA1B30">
      <w:pPr>
        <w:widowControl/>
        <w:shd w:val="clear" w:color="auto" w:fill="FFFFFF"/>
        <w:spacing w:line="240" w:lineRule="auto"/>
        <w:jc w:val="left"/>
        <w:rPr>
          <w:rFonts w:hint="eastAsia" w:ascii="宋体" w:hAnsi="宋体" w:cs="宋体"/>
          <w:b/>
          <w:color w:val="000000"/>
          <w:sz w:val="18"/>
          <w:szCs w:val="18"/>
          <w:highlight w:val="none"/>
        </w:rPr>
      </w:pPr>
      <w:r>
        <w:rPr>
          <w:rFonts w:hint="eastAsia" w:ascii="宋体" w:hAnsi="宋体" w:cs="宋体"/>
          <w:b/>
          <w:color w:val="000000"/>
          <w:sz w:val="18"/>
          <w:szCs w:val="18"/>
          <w:highlight w:val="none"/>
        </w:rPr>
        <w:t>目录十、</w:t>
      </w:r>
      <w:r>
        <w:rPr>
          <w:rFonts w:hint="eastAsia" w:ascii="宋体" w:hAnsi="宋体" w:cs="宋体"/>
          <w:color w:val="000000"/>
          <w:sz w:val="18"/>
          <w:szCs w:val="18"/>
          <w:highlight w:val="none"/>
          <w:lang w:val="zh-CN"/>
        </w:rPr>
        <w:t>供应商具有相关类似项目业绩情况表</w:t>
      </w:r>
      <w:r>
        <w:rPr>
          <w:rFonts w:hint="eastAsia" w:ascii="宋体" w:hAnsi="宋体" w:cs="宋体"/>
          <w:bCs/>
          <w:color w:val="000000"/>
          <w:kern w:val="0"/>
          <w:sz w:val="18"/>
          <w:szCs w:val="18"/>
          <w:highlight w:val="none"/>
        </w:rPr>
        <w:t>（及证明材料）</w:t>
      </w:r>
    </w:p>
    <w:p w14:paraId="2CF1AA19">
      <w:pPr>
        <w:widowControl/>
        <w:shd w:val="clear" w:color="auto" w:fill="FFFFFF"/>
        <w:spacing w:line="240" w:lineRule="auto"/>
        <w:jc w:val="center"/>
        <w:rPr>
          <w:rFonts w:hint="eastAsia" w:ascii="宋体" w:hAnsi="宋体" w:cs="宋体"/>
          <w:b/>
          <w:bCs/>
          <w:color w:val="000000"/>
          <w:kern w:val="0"/>
          <w:sz w:val="18"/>
          <w:szCs w:val="18"/>
          <w:highlight w:val="none"/>
        </w:rPr>
      </w:pPr>
      <w:r>
        <w:rPr>
          <w:rFonts w:hint="eastAsia" w:ascii="宋体" w:hAnsi="宋体" w:cs="宋体"/>
          <w:b/>
          <w:color w:val="000000"/>
          <w:sz w:val="18"/>
          <w:szCs w:val="18"/>
          <w:highlight w:val="none"/>
        </w:rPr>
        <w:t>供应商项目业绩情况表</w: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1504"/>
        <w:gridCol w:w="1297"/>
        <w:gridCol w:w="2175"/>
        <w:gridCol w:w="2550"/>
        <w:gridCol w:w="2040"/>
      </w:tblGrid>
      <w:tr w14:paraId="298FF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4E175A9F">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序号</w:t>
            </w:r>
          </w:p>
        </w:tc>
        <w:tc>
          <w:tcPr>
            <w:tcW w:w="1504" w:type="dxa"/>
            <w:tcBorders>
              <w:top w:val="single" w:color="000000" w:sz="4" w:space="0"/>
              <w:left w:val="single" w:color="000000" w:sz="4" w:space="0"/>
              <w:bottom w:val="single" w:color="000000" w:sz="4" w:space="0"/>
              <w:right w:val="single" w:color="000000" w:sz="4" w:space="0"/>
            </w:tcBorders>
          </w:tcPr>
          <w:p w14:paraId="70FC61E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项目名称</w:t>
            </w:r>
          </w:p>
        </w:tc>
        <w:tc>
          <w:tcPr>
            <w:tcW w:w="1297" w:type="dxa"/>
            <w:tcBorders>
              <w:top w:val="single" w:color="000000" w:sz="4" w:space="0"/>
              <w:left w:val="single" w:color="000000" w:sz="4" w:space="0"/>
              <w:bottom w:val="single" w:color="000000" w:sz="4" w:space="0"/>
              <w:right w:val="single" w:color="000000" w:sz="4" w:space="0"/>
            </w:tcBorders>
          </w:tcPr>
          <w:p w14:paraId="1D45849C">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业主单位</w:t>
            </w:r>
          </w:p>
        </w:tc>
        <w:tc>
          <w:tcPr>
            <w:tcW w:w="2175" w:type="dxa"/>
            <w:tcBorders>
              <w:top w:val="single" w:color="000000" w:sz="4" w:space="0"/>
              <w:left w:val="single" w:color="000000" w:sz="4" w:space="0"/>
              <w:bottom w:val="single" w:color="000000" w:sz="4" w:space="0"/>
              <w:right w:val="single" w:color="000000" w:sz="4" w:space="0"/>
            </w:tcBorders>
          </w:tcPr>
          <w:p w14:paraId="0EFD217A">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业主联系方式</w:t>
            </w:r>
          </w:p>
        </w:tc>
        <w:tc>
          <w:tcPr>
            <w:tcW w:w="2550" w:type="dxa"/>
            <w:tcBorders>
              <w:top w:val="single" w:color="000000" w:sz="4" w:space="0"/>
              <w:left w:val="single" w:color="000000" w:sz="4" w:space="0"/>
              <w:bottom w:val="single" w:color="000000" w:sz="4" w:space="0"/>
              <w:right w:val="single" w:color="000000" w:sz="4" w:space="0"/>
            </w:tcBorders>
          </w:tcPr>
          <w:p w14:paraId="1FF9FFC4">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业主联系人</w:t>
            </w:r>
          </w:p>
        </w:tc>
        <w:tc>
          <w:tcPr>
            <w:tcW w:w="2040" w:type="dxa"/>
            <w:tcBorders>
              <w:top w:val="single" w:color="000000" w:sz="4" w:space="0"/>
              <w:left w:val="single" w:color="auto" w:sz="4" w:space="0"/>
              <w:bottom w:val="single" w:color="000000" w:sz="4" w:space="0"/>
              <w:right w:val="single" w:color="000000" w:sz="4" w:space="0"/>
            </w:tcBorders>
          </w:tcPr>
          <w:p w14:paraId="54D5CFC1">
            <w:pPr>
              <w:widowControl/>
              <w:spacing w:line="240" w:lineRule="auto"/>
              <w:jc w:val="center"/>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合同签订日期</w:t>
            </w:r>
          </w:p>
        </w:tc>
      </w:tr>
      <w:tr w14:paraId="738618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134B9A72">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1</w:t>
            </w:r>
          </w:p>
        </w:tc>
        <w:tc>
          <w:tcPr>
            <w:tcW w:w="1504" w:type="dxa"/>
            <w:tcBorders>
              <w:top w:val="single" w:color="000000" w:sz="4" w:space="0"/>
              <w:left w:val="single" w:color="000000" w:sz="4" w:space="0"/>
              <w:bottom w:val="single" w:color="000000" w:sz="4" w:space="0"/>
              <w:right w:val="single" w:color="000000" w:sz="4" w:space="0"/>
            </w:tcBorders>
          </w:tcPr>
          <w:p w14:paraId="5670BE8F">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E4B682A">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6DE7E288">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3EA5BFC">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00D7D800">
            <w:pPr>
              <w:widowControl/>
              <w:spacing w:line="240" w:lineRule="auto"/>
              <w:rPr>
                <w:rFonts w:hint="eastAsia" w:ascii="宋体" w:hAnsi="宋体" w:cs="宋体"/>
                <w:bCs/>
                <w:color w:val="000000"/>
                <w:kern w:val="0"/>
                <w:sz w:val="18"/>
                <w:szCs w:val="18"/>
                <w:highlight w:val="none"/>
              </w:rPr>
            </w:pPr>
          </w:p>
        </w:tc>
      </w:tr>
      <w:tr w14:paraId="3C2D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tcBorders>
              <w:top w:val="single" w:color="000000" w:sz="4" w:space="0"/>
              <w:left w:val="single" w:color="000000" w:sz="4" w:space="0"/>
              <w:bottom w:val="single" w:color="000000" w:sz="4" w:space="0"/>
              <w:right w:val="single" w:color="000000" w:sz="4" w:space="0"/>
            </w:tcBorders>
          </w:tcPr>
          <w:p w14:paraId="7A6499D7">
            <w:pPr>
              <w:widowControl/>
              <w:spacing w:line="240" w:lineRule="auto"/>
              <w:rPr>
                <w:rFonts w:hint="eastAsia" w:ascii="宋体" w:hAnsi="宋体" w:cs="宋体"/>
                <w:bCs/>
                <w:color w:val="000000"/>
                <w:kern w:val="0"/>
                <w:sz w:val="18"/>
                <w:szCs w:val="18"/>
                <w:highlight w:val="none"/>
              </w:rPr>
            </w:pPr>
            <w:r>
              <w:rPr>
                <w:rFonts w:hint="eastAsia" w:ascii="宋体" w:hAnsi="宋体" w:cs="宋体"/>
                <w:bCs/>
                <w:color w:val="000000"/>
                <w:kern w:val="0"/>
                <w:sz w:val="18"/>
                <w:szCs w:val="18"/>
                <w:highlight w:val="none"/>
              </w:rPr>
              <w:t>2</w:t>
            </w:r>
          </w:p>
        </w:tc>
        <w:tc>
          <w:tcPr>
            <w:tcW w:w="1504" w:type="dxa"/>
            <w:tcBorders>
              <w:top w:val="single" w:color="000000" w:sz="4" w:space="0"/>
              <w:left w:val="single" w:color="000000" w:sz="4" w:space="0"/>
              <w:bottom w:val="single" w:color="000000" w:sz="4" w:space="0"/>
              <w:right w:val="single" w:color="000000" w:sz="4" w:space="0"/>
            </w:tcBorders>
          </w:tcPr>
          <w:p w14:paraId="006EBCFA">
            <w:pPr>
              <w:widowControl/>
              <w:spacing w:line="240" w:lineRule="auto"/>
              <w:rPr>
                <w:rFonts w:hint="eastAsia" w:ascii="宋体" w:hAnsi="宋体" w:cs="宋体"/>
                <w:bCs/>
                <w:color w:val="000000"/>
                <w:kern w:val="0"/>
                <w:sz w:val="18"/>
                <w:szCs w:val="18"/>
                <w:highlight w:val="none"/>
              </w:rPr>
            </w:pPr>
          </w:p>
        </w:tc>
        <w:tc>
          <w:tcPr>
            <w:tcW w:w="1297" w:type="dxa"/>
            <w:tcBorders>
              <w:top w:val="single" w:color="000000" w:sz="4" w:space="0"/>
              <w:left w:val="single" w:color="000000" w:sz="4" w:space="0"/>
              <w:bottom w:val="single" w:color="000000" w:sz="4" w:space="0"/>
              <w:right w:val="single" w:color="000000" w:sz="4" w:space="0"/>
            </w:tcBorders>
          </w:tcPr>
          <w:p w14:paraId="33547DA4">
            <w:pPr>
              <w:widowControl/>
              <w:spacing w:line="240" w:lineRule="auto"/>
              <w:rPr>
                <w:rFonts w:hint="eastAsia" w:ascii="宋体" w:hAnsi="宋体" w:cs="宋体"/>
                <w:bCs/>
                <w:color w:val="000000"/>
                <w:kern w:val="0"/>
                <w:sz w:val="18"/>
                <w:szCs w:val="18"/>
                <w:highlight w:val="none"/>
              </w:rPr>
            </w:pPr>
          </w:p>
        </w:tc>
        <w:tc>
          <w:tcPr>
            <w:tcW w:w="2175" w:type="dxa"/>
            <w:tcBorders>
              <w:top w:val="single" w:color="000000" w:sz="4" w:space="0"/>
              <w:left w:val="single" w:color="000000" w:sz="4" w:space="0"/>
              <w:bottom w:val="single" w:color="000000" w:sz="4" w:space="0"/>
              <w:right w:val="single" w:color="000000" w:sz="4" w:space="0"/>
            </w:tcBorders>
          </w:tcPr>
          <w:p w14:paraId="4B64C69C">
            <w:pPr>
              <w:widowControl/>
              <w:spacing w:line="240" w:lineRule="auto"/>
              <w:rPr>
                <w:rFonts w:hint="eastAsia" w:ascii="宋体" w:hAnsi="宋体" w:cs="宋体"/>
                <w:bCs/>
                <w:color w:val="000000"/>
                <w:kern w:val="0"/>
                <w:sz w:val="18"/>
                <w:szCs w:val="18"/>
                <w:highlight w:val="none"/>
              </w:rPr>
            </w:pPr>
          </w:p>
        </w:tc>
        <w:tc>
          <w:tcPr>
            <w:tcW w:w="2550" w:type="dxa"/>
            <w:tcBorders>
              <w:top w:val="single" w:color="000000" w:sz="4" w:space="0"/>
              <w:left w:val="single" w:color="000000" w:sz="4" w:space="0"/>
              <w:bottom w:val="single" w:color="000000" w:sz="4" w:space="0"/>
              <w:right w:val="single" w:color="000000" w:sz="4" w:space="0"/>
            </w:tcBorders>
          </w:tcPr>
          <w:p w14:paraId="74241F54">
            <w:pPr>
              <w:widowControl/>
              <w:spacing w:line="240" w:lineRule="auto"/>
              <w:rPr>
                <w:rFonts w:hint="eastAsia" w:ascii="宋体" w:hAnsi="宋体" w:cs="宋体"/>
                <w:bCs/>
                <w:color w:val="000000"/>
                <w:kern w:val="0"/>
                <w:sz w:val="18"/>
                <w:szCs w:val="18"/>
                <w:highlight w:val="none"/>
              </w:rPr>
            </w:pPr>
          </w:p>
        </w:tc>
        <w:tc>
          <w:tcPr>
            <w:tcW w:w="2040" w:type="dxa"/>
            <w:tcBorders>
              <w:top w:val="single" w:color="000000" w:sz="4" w:space="0"/>
              <w:left w:val="single" w:color="auto" w:sz="4" w:space="0"/>
              <w:bottom w:val="single" w:color="000000" w:sz="4" w:space="0"/>
              <w:right w:val="single" w:color="000000" w:sz="4" w:space="0"/>
            </w:tcBorders>
          </w:tcPr>
          <w:p w14:paraId="28D2DB25">
            <w:pPr>
              <w:widowControl/>
              <w:spacing w:line="240" w:lineRule="auto"/>
              <w:rPr>
                <w:rFonts w:hint="eastAsia" w:ascii="宋体" w:hAnsi="宋体" w:cs="宋体"/>
                <w:bCs/>
                <w:color w:val="000000"/>
                <w:kern w:val="0"/>
                <w:sz w:val="18"/>
                <w:szCs w:val="18"/>
                <w:highlight w:val="none"/>
              </w:rPr>
            </w:pPr>
          </w:p>
        </w:tc>
      </w:tr>
    </w:tbl>
    <w:p w14:paraId="51D0F6A6">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说明：1、如果行数不够，请自行增加。</w:t>
      </w:r>
    </w:p>
    <w:p w14:paraId="58932794">
      <w:pPr>
        <w:widowControl/>
        <w:shd w:val="clear" w:color="auto" w:fill="FFFFFF"/>
        <w:spacing w:line="240" w:lineRule="auto"/>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2、所有业绩均需要提供有效的复印件并加盖公章（扫描件）。</w:t>
      </w:r>
    </w:p>
    <w:p w14:paraId="20623A79">
      <w:pPr>
        <w:spacing w:line="240" w:lineRule="auto"/>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供应商名称：</w:t>
      </w:r>
      <w:r>
        <w:rPr>
          <w:rFonts w:hint="eastAsia" w:ascii="宋体" w:hAnsi="宋体" w:cs="宋体"/>
          <w:color w:val="000000"/>
          <w:kern w:val="0"/>
          <w:sz w:val="18"/>
          <w:szCs w:val="18"/>
          <w:highlight w:val="none"/>
          <w:u w:val="single"/>
        </w:rPr>
        <w:t>          </w:t>
      </w:r>
      <w:r>
        <w:rPr>
          <w:rFonts w:hint="eastAsia" w:ascii="宋体" w:hAnsi="宋体" w:cs="宋体"/>
          <w:color w:val="000000"/>
          <w:kern w:val="0"/>
          <w:sz w:val="18"/>
          <w:szCs w:val="18"/>
          <w:highlight w:val="none"/>
        </w:rPr>
        <w:t>（盖章）</w:t>
      </w:r>
    </w:p>
    <w:p w14:paraId="736A0866">
      <w:pPr>
        <w:pStyle w:val="5"/>
        <w:spacing w:line="240" w:lineRule="auto"/>
        <w:ind w:left="0"/>
        <w:rPr>
          <w:rFonts w:hint="eastAsia" w:ascii="宋体" w:hAnsi="宋体" w:cs="宋体"/>
          <w:color w:val="000000"/>
          <w:kern w:val="0"/>
          <w:sz w:val="18"/>
          <w:szCs w:val="18"/>
          <w:highlight w:val="none"/>
        </w:rPr>
      </w:pPr>
      <w:r>
        <w:rPr>
          <w:rFonts w:hint="eastAsia" w:ascii="宋体" w:hAnsi="宋体" w:cs="宋体"/>
          <w:b/>
          <w:bCs/>
          <w:color w:val="000000"/>
          <w:kern w:val="0"/>
          <w:sz w:val="18"/>
          <w:szCs w:val="18"/>
          <w:highlight w:val="none"/>
        </w:rPr>
        <w:t>目录十一、</w:t>
      </w:r>
      <w:r>
        <w:rPr>
          <w:rFonts w:hint="eastAsia" w:ascii="宋体" w:hAnsi="宋体" w:cs="宋体"/>
          <w:color w:val="000000"/>
          <w:kern w:val="0"/>
          <w:sz w:val="18"/>
          <w:szCs w:val="18"/>
          <w:highlight w:val="none"/>
        </w:rPr>
        <w:t>安装调试验收方案</w:t>
      </w:r>
    </w:p>
    <w:p w14:paraId="03AF3612">
      <w:pPr>
        <w:spacing w:line="240" w:lineRule="auto"/>
        <w:rPr>
          <w:rFonts w:hint="eastAsia" w:ascii="宋体" w:hAnsi="宋体" w:cs="宋体"/>
          <w:b/>
          <w:color w:val="000000"/>
          <w:sz w:val="18"/>
          <w:szCs w:val="18"/>
          <w:highlight w:val="none"/>
        </w:rPr>
      </w:pPr>
      <w:bookmarkStart w:id="6" w:name="_GoBack"/>
      <w:bookmarkEnd w:id="6"/>
      <w:r>
        <w:rPr>
          <w:rFonts w:hint="eastAsia" w:ascii="宋体" w:hAnsi="宋体" w:cs="宋体"/>
          <w:b/>
          <w:color w:val="000000"/>
          <w:sz w:val="18"/>
          <w:szCs w:val="18"/>
          <w:highlight w:val="none"/>
        </w:rPr>
        <w:t>附件一、中小企业声明函格式</w:t>
      </w:r>
    </w:p>
    <w:p w14:paraId="73BA11B9">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中小企业声明函</w:t>
      </w:r>
    </w:p>
    <w:p w14:paraId="4446E775">
      <w:pPr>
        <w:spacing w:line="240" w:lineRule="auto"/>
        <w:ind w:firstLine="540" w:firstLineChars="300"/>
        <w:rPr>
          <w:rFonts w:hint="eastAsia" w:ascii="宋体" w:hAnsi="宋体" w:cs="宋体"/>
          <w:color w:val="000000"/>
          <w:sz w:val="18"/>
          <w:szCs w:val="18"/>
          <w:highlight w:val="none"/>
        </w:rPr>
      </w:pPr>
      <w:r>
        <w:rPr>
          <w:rFonts w:hint="eastAsia" w:ascii="宋体" w:hAnsi="宋体" w:cs="宋体"/>
          <w:color w:val="000000"/>
          <w:sz w:val="18"/>
          <w:szCs w:val="18"/>
          <w:highlight w:val="none"/>
        </w:rPr>
        <w:t>本公司（联合体）郑重声明，根据《政府采购促进中小企业发展管理办法》（财库〔2020）46号）的规定，本公司</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（联合体）参加</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（单位名称）</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（项目名称）  采购活动，工程的施工单位全部为符合政策要求的中小企业（或者∶ 服务全部由符合政策要求的中小企业承接）。相关企业（含联合体中的中小企业、签订分包意向协议的中小企业）的具体情况如下∶</w:t>
      </w:r>
    </w:p>
    <w:p w14:paraId="6F2A5A14">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u w:val="single"/>
        </w:rPr>
        <w:t xml:space="preserve">   （标 的 名 称 ）</w:t>
      </w:r>
      <w:r>
        <w:rPr>
          <w:rFonts w:hint="eastAsia" w:ascii="宋体" w:hAnsi="宋体" w:cs="宋体"/>
          <w:color w:val="000000"/>
          <w:sz w:val="18"/>
          <w:szCs w:val="18"/>
          <w:highlight w:val="none"/>
        </w:rPr>
        <w:t>，属于（采购文件中明确的所属行业） 承建（承接）企业为</w:t>
      </w:r>
      <w:r>
        <w:rPr>
          <w:rFonts w:hint="eastAsia" w:ascii="宋体" w:hAnsi="宋体" w:cs="宋体"/>
          <w:color w:val="000000"/>
          <w:sz w:val="18"/>
          <w:szCs w:val="18"/>
          <w:highlight w:val="none"/>
          <w:u w:val="single"/>
        </w:rPr>
        <w:t xml:space="preserve">  （企业名称）</w:t>
      </w:r>
      <w:r>
        <w:rPr>
          <w:rFonts w:hint="eastAsia" w:ascii="宋体" w:hAnsi="宋体" w:cs="宋体"/>
          <w:color w:val="000000"/>
          <w:sz w:val="18"/>
          <w:szCs w:val="18"/>
          <w:highlight w:val="none"/>
        </w:rPr>
        <w:t>，从业人员</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 xml:space="preserve"> 人，营业收入为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万元，资产总额为</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万元，属于（史型企业、</w:t>
      </w:r>
    </w:p>
    <w:p w14:paraId="46CEA4A8">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小型企业、微型企业）</w:t>
      </w:r>
    </w:p>
    <w:p w14:paraId="1EA2C0CB">
      <w:pPr>
        <w:spacing w:line="240" w:lineRule="auto"/>
        <w:ind w:firstLine="324" w:firstLineChars="200"/>
        <w:rPr>
          <w:rFonts w:hint="eastAsia" w:ascii="宋体" w:hAnsi="宋体" w:cs="宋体"/>
          <w:color w:val="000000"/>
          <w:w w:val="90"/>
          <w:sz w:val="18"/>
          <w:szCs w:val="18"/>
          <w:highlight w:val="none"/>
        </w:rPr>
      </w:pPr>
      <w:r>
        <w:rPr>
          <w:rFonts w:hint="eastAsia" w:ascii="宋体" w:hAnsi="宋体" w:cs="宋体"/>
          <w:color w:val="000000"/>
          <w:w w:val="90"/>
          <w:sz w:val="18"/>
          <w:szCs w:val="18"/>
          <w:highlight w:val="none"/>
        </w:rPr>
        <w:t>以上企业，不属于大企业的分支机构，不存在控股股东 为大企业的情形，也不存在与大企业的负责人为同一人的情形 。</w:t>
      </w:r>
    </w:p>
    <w:p w14:paraId="64CAE045">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本企业对上述声明内容的真实性负责。如有虚假，将依法承担相应责任。</w:t>
      </w:r>
    </w:p>
    <w:p w14:paraId="560AA912">
      <w:pPr>
        <w:spacing w:line="240" w:lineRule="auto"/>
        <w:ind w:firstLine="3420" w:firstLineChars="1900"/>
        <w:rPr>
          <w:rFonts w:hint="eastAsia" w:ascii="宋体" w:hAnsi="宋体" w:cs="宋体"/>
          <w:color w:val="000000"/>
          <w:sz w:val="18"/>
          <w:szCs w:val="18"/>
          <w:highlight w:val="none"/>
        </w:rPr>
      </w:pPr>
      <w:r>
        <w:rPr>
          <w:rFonts w:hint="eastAsia" w:ascii="宋体" w:hAnsi="宋体" w:cs="宋体"/>
          <w:color w:val="000000"/>
          <w:sz w:val="18"/>
          <w:szCs w:val="18"/>
          <w:highlight w:val="none"/>
        </w:rPr>
        <w:t>企业名称（盖章）∶</w:t>
      </w:r>
    </w:p>
    <w:p w14:paraId="7204EC35">
      <w:pPr>
        <w:spacing w:line="240" w:lineRule="auto"/>
        <w:ind w:firstLine="4320" w:firstLineChars="24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w:t>
      </w:r>
    </w:p>
    <w:p w14:paraId="41E690D5">
      <w:pPr>
        <w:widowControl/>
        <w:adjustRightInd w:val="0"/>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附件二、无重大违法记录声明格式</w:t>
      </w:r>
    </w:p>
    <w:p w14:paraId="454F24A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无重大违法记录声明</w:t>
      </w:r>
    </w:p>
    <w:p w14:paraId="083DFC6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4D07C352">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w:t>
      </w:r>
    </w:p>
    <w:p w14:paraId="3DDCEF77">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参加政府采购活动前3年内在经营活动中</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（在下划线上如实填写：有或没有）重大违法记录。</w:t>
      </w:r>
    </w:p>
    <w:p w14:paraId="5FDB776E">
      <w:pPr>
        <w:spacing w:line="240" w:lineRule="auto"/>
        <w:ind w:firstLine="360" w:firstLineChars="200"/>
        <w:rPr>
          <w:rFonts w:hint="eastAsia" w:ascii="宋体" w:hAnsi="宋体" w:cs="宋体"/>
          <w:color w:val="000000"/>
          <w:sz w:val="18"/>
          <w:szCs w:val="18"/>
          <w:highlight w:val="none"/>
        </w:rPr>
      </w:pPr>
      <w:r>
        <w:rPr>
          <w:rFonts w:hint="eastAsia" w:ascii="宋体" w:hAnsi="宋体" w:cs="宋体"/>
          <w:color w:val="000000"/>
          <w:sz w:val="18"/>
          <w:szCs w:val="18"/>
          <w:highlight w:val="none"/>
        </w:rPr>
        <w:t>（说明：政府采购法第二十二条第一款第五项所称重大违法记录，是指供应商因违法经营受到刑事处罚或者责令停产停业、吊销许可证或者执照、较大数额罚款等行政处罚。）</w:t>
      </w:r>
    </w:p>
    <w:p w14:paraId="01819094">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声明人（公章）：</w:t>
      </w:r>
    </w:p>
    <w:p w14:paraId="62943A88">
      <w:pPr>
        <w:spacing w:line="240" w:lineRule="auto"/>
        <w:ind w:firstLine="3960" w:firstLineChars="2200"/>
        <w:rPr>
          <w:rFonts w:hint="eastAsia" w:ascii="宋体" w:hAnsi="宋体" w:cs="宋体"/>
          <w:color w:val="000000"/>
          <w:sz w:val="18"/>
          <w:szCs w:val="18"/>
          <w:highlight w:val="none"/>
        </w:rPr>
      </w:pPr>
      <w:r>
        <w:rPr>
          <w:rFonts w:hint="eastAsia" w:ascii="宋体" w:hAnsi="宋体" w:cs="宋体"/>
          <w:color w:val="000000"/>
          <w:sz w:val="18"/>
          <w:szCs w:val="18"/>
          <w:highlight w:val="none"/>
        </w:rPr>
        <w:t>日　　期：    年   月  日</w:t>
      </w:r>
    </w:p>
    <w:p w14:paraId="6B965928">
      <w:pPr>
        <w:spacing w:line="240" w:lineRule="auto"/>
        <w:rPr>
          <w:rFonts w:hint="eastAsia" w:ascii="宋体" w:hAnsi="宋体" w:cs="宋体"/>
          <w:b/>
          <w:color w:val="000000"/>
          <w:sz w:val="18"/>
          <w:szCs w:val="18"/>
          <w:highlight w:val="none"/>
        </w:rPr>
      </w:pPr>
      <w:r>
        <w:rPr>
          <w:rFonts w:hint="eastAsia" w:ascii="宋体" w:hAnsi="宋体" w:cs="宋体"/>
          <w:b/>
          <w:color w:val="000000"/>
          <w:sz w:val="18"/>
          <w:szCs w:val="18"/>
          <w:highlight w:val="none"/>
        </w:rPr>
        <w:t>附件三、具备履行合同所必需的设备和专业技术能力的声明格式及证明材料</w:t>
      </w:r>
    </w:p>
    <w:p w14:paraId="01E75277">
      <w:pPr>
        <w:spacing w:line="240" w:lineRule="auto"/>
        <w:jc w:val="center"/>
        <w:rPr>
          <w:rFonts w:hint="eastAsia" w:ascii="宋体" w:hAnsi="宋体" w:cs="宋体"/>
          <w:color w:val="000000"/>
          <w:sz w:val="18"/>
          <w:szCs w:val="18"/>
          <w:highlight w:val="none"/>
        </w:rPr>
      </w:pPr>
      <w:r>
        <w:rPr>
          <w:rFonts w:hint="eastAsia" w:ascii="宋体" w:hAnsi="宋体" w:cs="宋体"/>
          <w:color w:val="000000"/>
          <w:sz w:val="18"/>
          <w:szCs w:val="18"/>
          <w:highlight w:val="none"/>
        </w:rPr>
        <w:t>具备履行合同所必需的设备和专业技术能力的声明格式</w:t>
      </w:r>
    </w:p>
    <w:p w14:paraId="22534752">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南京市溧水区人民医院：</w:t>
      </w:r>
    </w:p>
    <w:p w14:paraId="6FE3CF15">
      <w:pPr>
        <w:spacing w:line="240" w:lineRule="auto"/>
        <w:ind w:firstLine="492"/>
        <w:rPr>
          <w:rFonts w:hint="eastAsia" w:ascii="宋体" w:hAnsi="宋体" w:cs="宋体"/>
          <w:color w:val="000000"/>
          <w:sz w:val="18"/>
          <w:szCs w:val="18"/>
          <w:highlight w:val="none"/>
        </w:rPr>
      </w:pPr>
      <w:r>
        <w:rPr>
          <w:rFonts w:hint="eastAsia" w:ascii="宋体" w:hAnsi="宋体" w:cs="宋体"/>
          <w:color w:val="000000"/>
          <w:sz w:val="18"/>
          <w:szCs w:val="18"/>
          <w:highlight w:val="none"/>
        </w:rPr>
        <w:t>我单位</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（供应商名称）郑重声明：我公司具备履行本项采购合同所必需的设备和专业技术能力，为履行本项采购合同我单位具备如下主要设备和主要专业技术能力：</w:t>
      </w:r>
    </w:p>
    <w:p w14:paraId="118C559D">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主要设备有：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。(提供照片)</w:t>
      </w:r>
    </w:p>
    <w:p w14:paraId="4FBD1A9C">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主要专业技术能力有：</w:t>
      </w:r>
      <w:r>
        <w:rPr>
          <w:rFonts w:hint="eastAsia" w:ascii="宋体" w:hAnsi="宋体" w:cs="宋体"/>
          <w:color w:val="000000"/>
          <w:sz w:val="18"/>
          <w:szCs w:val="18"/>
          <w:highlight w:val="none"/>
          <w:u w:val="single"/>
        </w:rPr>
        <w:t xml:space="preserve">                  </w:t>
      </w:r>
      <w:r>
        <w:rPr>
          <w:rFonts w:hint="eastAsia" w:ascii="宋体" w:hAnsi="宋体" w:cs="宋体"/>
          <w:color w:val="000000"/>
          <w:sz w:val="18"/>
          <w:szCs w:val="18"/>
          <w:highlight w:val="none"/>
        </w:rPr>
        <w:t>。(若有)</w:t>
      </w:r>
    </w:p>
    <w:p w14:paraId="24B2C3D1">
      <w:pPr>
        <w:spacing w:line="240" w:lineRule="auto"/>
        <w:rPr>
          <w:rFonts w:hint="eastAsia" w:ascii="宋体" w:hAnsi="宋体" w:cs="宋体"/>
          <w:color w:val="000000"/>
          <w:sz w:val="18"/>
          <w:szCs w:val="18"/>
          <w:highlight w:val="none"/>
        </w:rPr>
      </w:pPr>
      <w:r>
        <w:rPr>
          <w:rFonts w:hint="eastAsia" w:ascii="宋体" w:hAnsi="宋体" w:cs="宋体"/>
          <w:color w:val="000000"/>
          <w:sz w:val="18"/>
          <w:szCs w:val="18"/>
          <w:highlight w:val="none"/>
        </w:rPr>
        <w:t xml:space="preserve">                                           声明人：（公章）</w:t>
      </w:r>
    </w:p>
    <w:p w14:paraId="790EE70A">
      <w:pPr>
        <w:spacing w:line="240" w:lineRule="auto"/>
        <w:rPr>
          <w:rFonts w:hint="eastAsia" w:ascii="宋体" w:hAnsi="宋体" w:cs="宋体"/>
          <w:color w:val="000000"/>
          <w:sz w:val="18"/>
          <w:szCs w:val="18"/>
          <w:highlight w:val="none"/>
        </w:rPr>
      </w:pPr>
      <w:r>
        <w:rPr>
          <w:rFonts w:hint="eastAsia" w:ascii="宋体" w:hAnsi="宋体" w:cs="宋体"/>
          <w:bCs/>
          <w:color w:val="000000"/>
          <w:sz w:val="18"/>
          <w:szCs w:val="18"/>
          <w:highlight w:val="none"/>
        </w:rPr>
        <w:t xml:space="preserve">                                      </w:t>
      </w:r>
      <w:r>
        <w:rPr>
          <w:rFonts w:hint="eastAsia" w:ascii="宋体" w:hAnsi="宋体" w:cs="宋体"/>
          <w:color w:val="000000"/>
          <w:sz w:val="18"/>
          <w:szCs w:val="18"/>
          <w:highlight w:val="none"/>
        </w:rPr>
        <w:t>日  期：       年    月    日</w:t>
      </w:r>
    </w:p>
    <w:p w14:paraId="4BC25ABA">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附件四、残疾人福利性单位声明函 </w:t>
      </w:r>
    </w:p>
    <w:p w14:paraId="7A1F6137">
      <w:pPr>
        <w:widowControl/>
        <w:spacing w:line="240" w:lineRule="auto"/>
        <w:ind w:firstLine="360" w:firstLineChars="2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本单位郑重声明，根据《财政部 民政部 中国残疾人联合会关于促进残疾人就业政府采购政策的通知》（财库〔2017〕 141 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14:paraId="20E17E68">
      <w:pPr>
        <w:widowControl/>
        <w:spacing w:line="240" w:lineRule="auto"/>
        <w:ind w:firstLine="360" w:firstLineChars="200"/>
        <w:jc w:val="left"/>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本单位对上述声明的真实性负责。如有虚假，将依法承担相应责任。 </w:t>
      </w:r>
    </w:p>
    <w:p w14:paraId="05BB2657">
      <w:pPr>
        <w:widowControl/>
        <w:spacing w:line="240" w:lineRule="auto"/>
        <w:ind w:firstLine="3780" w:firstLineChars="2100"/>
        <w:jc w:val="left"/>
        <w:rPr>
          <w:rFonts w:hint="eastAsia" w:ascii="宋体" w:hAnsi="宋体" w:cs="宋体"/>
          <w:color w:val="000000"/>
          <w:sz w:val="18"/>
          <w:szCs w:val="18"/>
          <w:highlight w:val="none"/>
        </w:rPr>
      </w:pPr>
      <w:r>
        <w:rPr>
          <w:rFonts w:hint="eastAsia" w:ascii="宋体" w:hAnsi="宋体" w:cs="宋体"/>
          <w:color w:val="000000"/>
          <w:kern w:val="0"/>
          <w:sz w:val="18"/>
          <w:szCs w:val="18"/>
          <w:highlight w:val="none"/>
        </w:rPr>
        <w:t xml:space="preserve">单位名称（盖章）： </w:t>
      </w:r>
    </w:p>
    <w:p w14:paraId="77BA80D0">
      <w:pPr>
        <w:widowControl/>
        <w:spacing w:line="240" w:lineRule="auto"/>
        <w:ind w:firstLine="3780" w:firstLineChars="2100"/>
        <w:jc w:val="left"/>
        <w:rPr>
          <w:rFonts w:hint="eastAsia" w:ascii="宋体" w:hAnsi="宋体" w:cs="宋体"/>
          <w:b/>
          <w:bCs/>
          <w:color w:val="000000"/>
          <w:kern w:val="0"/>
          <w:sz w:val="18"/>
          <w:szCs w:val="18"/>
          <w:highlight w:val="none"/>
        </w:rPr>
      </w:pPr>
      <w:r>
        <w:rPr>
          <w:rFonts w:hint="eastAsia" w:ascii="宋体" w:hAnsi="宋体" w:cs="宋体"/>
          <w:color w:val="000000"/>
          <w:kern w:val="0"/>
          <w:sz w:val="18"/>
          <w:szCs w:val="18"/>
          <w:highlight w:val="none"/>
        </w:rPr>
        <w:t xml:space="preserve">日 期： </w:t>
      </w:r>
    </w:p>
    <w:p w14:paraId="48ECA805">
      <w:pPr>
        <w:widowControl/>
        <w:spacing w:line="240" w:lineRule="auto"/>
        <w:jc w:val="left"/>
        <w:rPr>
          <w:rFonts w:hint="eastAsia" w:ascii="宋体" w:hAnsi="宋体" w:cs="宋体"/>
          <w:color w:val="000000"/>
          <w:sz w:val="18"/>
          <w:szCs w:val="18"/>
          <w:highlight w:val="none"/>
        </w:rPr>
      </w:pPr>
      <w:r>
        <w:rPr>
          <w:rFonts w:hint="eastAsia" w:ascii="宋体" w:hAnsi="宋体" w:cs="宋体"/>
          <w:b/>
          <w:bCs/>
          <w:color w:val="000000"/>
          <w:kern w:val="0"/>
          <w:sz w:val="18"/>
          <w:szCs w:val="18"/>
          <w:highlight w:val="none"/>
        </w:rPr>
        <w:t xml:space="preserve">附件五、属于监狱企业的证明文件 </w:t>
      </w:r>
    </w:p>
    <w:p w14:paraId="43F54F1A">
      <w:pPr>
        <w:widowControl/>
        <w:spacing w:line="240" w:lineRule="auto"/>
        <w:ind w:firstLine="360" w:firstLineChars="200"/>
        <w:jc w:val="left"/>
        <w:rPr>
          <w:b/>
          <w:bCs/>
          <w:color w:val="000000"/>
          <w:sz w:val="32"/>
          <w:szCs w:val="32"/>
          <w:highlight w:val="none"/>
        </w:rPr>
      </w:pPr>
      <w:r>
        <w:rPr>
          <w:rFonts w:hint="eastAsia" w:ascii="宋体" w:hAnsi="宋体" w:cs="宋体"/>
          <w:color w:val="000000"/>
          <w:kern w:val="0"/>
          <w:sz w:val="18"/>
          <w:szCs w:val="18"/>
          <w:highlight w:val="none"/>
        </w:rPr>
        <w:t>（提供由省级以上监狱管理局、戒毒管理局(含新疆生产建设兵团)出具的属于监狱企业的证明文件）</w:t>
      </w:r>
    </w:p>
    <w:p w14:paraId="34E8762E">
      <w:pPr>
        <w:spacing w:line="240" w:lineRule="auto"/>
        <w:ind w:firstLine="3373" w:firstLineChars="1200"/>
        <w:rPr>
          <w:b/>
          <w:bCs/>
          <w:color w:val="000000"/>
          <w:sz w:val="28"/>
          <w:szCs w:val="28"/>
          <w:highlight w:val="none"/>
        </w:rPr>
      </w:pPr>
      <w:r>
        <w:rPr>
          <w:rFonts w:hint="eastAsia"/>
          <w:b/>
          <w:bCs/>
          <w:color w:val="000000"/>
          <w:sz w:val="28"/>
          <w:szCs w:val="28"/>
          <w:highlight w:val="none"/>
        </w:rPr>
        <w:t>风险提示函</w:t>
      </w:r>
    </w:p>
    <w:p w14:paraId="147AAF82">
      <w:pPr>
        <w:spacing w:line="240" w:lineRule="auto"/>
        <w:ind w:firstLine="422" w:firstLineChars="200"/>
        <w:rPr>
          <w:b/>
          <w:bCs/>
          <w:color w:val="000000"/>
          <w:sz w:val="20"/>
          <w:szCs w:val="18"/>
          <w:highlight w:val="none"/>
        </w:rPr>
      </w:pPr>
      <w:r>
        <w:rPr>
          <w:rFonts w:hint="eastAsia"/>
          <w:b/>
          <w:bCs/>
          <w:color w:val="000000"/>
          <w:sz w:val="21"/>
          <w:szCs w:val="21"/>
          <w:highlight w:val="none"/>
        </w:rPr>
        <w:t>根据近期审计、巡查的情况，按照</w:t>
      </w:r>
      <w:r>
        <w:rPr>
          <w:rFonts w:hint="eastAsia" w:ascii="宋体" w:hAnsi="宋体"/>
          <w:b/>
          <w:bCs/>
          <w:color w:val="000000"/>
          <w:sz w:val="21"/>
          <w:szCs w:val="21"/>
          <w:highlight w:val="none"/>
        </w:rPr>
        <w:t>«中华人民共和国政府采购法实施条例»第十八条单位负责人为同一人或者存在直接控股、管理关系的不同供应商，不得参加同一合同项下的政府采购活动。</w:t>
      </w:r>
      <w:r>
        <w:rPr>
          <w:rFonts w:hint="eastAsia"/>
          <w:b/>
          <w:bCs/>
          <w:color w:val="000000"/>
          <w:sz w:val="21"/>
          <w:szCs w:val="21"/>
          <w:highlight w:val="none"/>
        </w:rPr>
        <w:t>各投标人应高度重视，单位负责人为同一人，以及与其公司有同一控股关系、股权伙伴关系的公司，不得参与同一合同项目的投标，否则有围标、串标之嫌疑，其风险自行承担。</w:t>
      </w:r>
    </w:p>
    <w:p w14:paraId="76C2807B"/>
    <w:sectPr>
      <w:headerReference r:id="rId5" w:type="default"/>
      <w:footerReference r:id="rId6" w:type="default"/>
      <w:pgSz w:w="12240" w:h="15840"/>
      <w:pgMar w:top="222" w:right="601" w:bottom="278" w:left="618" w:header="283" w:footer="720"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25F01">
    <w:pPr>
      <w:pStyle w:val="6"/>
      <w:jc w:val="center"/>
      <w:rPr>
        <w:kern w:val="0"/>
        <w:szCs w:val="2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357CEA9F">
                    <w:pPr>
                      <w:pStyle w:val="6"/>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EA4B9">
    <w:pPr>
      <w:autoSpaceDE w:val="0"/>
      <w:autoSpaceDN w:val="0"/>
      <w:spacing w:line="14" w:lineRule="auto"/>
      <w:rPr>
        <w:rFonts w:hint="eastAsia" w:ascii="宋体" w:hAnsi="宋体" w:cs="宋体"/>
        <w:sz w:val="20"/>
        <w:szCs w:val="18"/>
      </w:rPr>
    </w:pPr>
    <w:r>
      <w:rPr>
        <w:rFonts w:ascii="宋体" w:hAnsi="宋体" w:cs="宋体"/>
        <w:sz w:val="20"/>
        <w:szCs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wps:txbx>
                    <wps:bodyPr vert="horz" wrap="none" lIns="0" tIns="0" rIns="0" bIns="0" anchor="t">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YZdbfJAQAAkgMAAA4AAABkcnMvZTJvRG9jLnhtbK1TS47TQBDdI3GH&#10;Vu+JnWiEghVnhBQNQkIw0sABOu123FL/VNWJHQ4AN2DFhj3nyjmobtsZNGxmwaZd1Z9X770qb24H&#10;a9hJAWrvar5clJwpJ32j3aHmXz7fvVpzhlG4RhjvVM3PCvnt9uWLTR8qtfKdN40CRiAOqz7UvIsx&#10;VEWBslNW4MIH5eiw9WBFpBQORQOiJ3RrilVZvi56D00ALxUi7e7GQz4hwnMAfdtqqXZeHq1ycUQF&#10;ZUQkSdjpgHyb2batkvFT26KKzNSclMa8UhGK92ktthtRHUCETsuJgngOhSearNCOil6hdiIKdgT9&#10;D5TVEjz6Ni6kt8UoJDtCKpblE28eOhFU1kJWY7iajv8PVn483QPTTc1vyjfUeScs9fzy4/vl5+/L&#10;r2/sJjnUB6zo4kO4hylDCpPcoQWbviSEDdnV89VVNUQmaXO5Xq3XJRku6WxOCKd4fB4A4zvlLUtB&#10;zYHalt0Upw8Yx6vzlVTNuLQ6f6eNGU/TTpFojsRSFIf9MLHd++ZMKmnoCbzz8JWznlpec0cTzpl5&#10;78jRNB1zAHOwnwPhJD2s+cgLw9tjpPKZWyo2Vpg4UKuyumms0iz8nedbj7/S9g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hhl1t8kBAACSAwAADgAAAAAAAAABACAAAAAfAQAAZHJzL2Uyb0Rv&#10;Yy54bWxQSwUGAAAAAAYABgBZAQAAWgUAAAAA&#10;">
              <v:fill on="f" focussize="0,0"/>
              <v:stroke on="f"/>
              <v:imagedata o:title=""/>
              <o:lock v:ext="edit" aspectratio="f"/>
              <v:textbox inset="0mm,0mm,0mm,0mm" style="mso-fit-shape-to-text:t;">
                <w:txbxContent>
                  <w:p w14:paraId="376D7372">
                    <w:pPr>
                      <w:tabs>
                        <w:tab w:val="center" w:pos="4153"/>
                        <w:tab w:val="right" w:pos="8306"/>
                      </w:tabs>
                      <w:autoSpaceDE w:val="0"/>
                      <w:autoSpaceDN w:val="0"/>
                      <w:snapToGrid w:val="0"/>
                      <w:jc w:val="left"/>
                      <w:rPr>
                        <w:rFonts w:hint="eastAsia" w:ascii="宋体" w:hAnsi="宋体" w:cs="宋体"/>
                        <w:sz w:val="18"/>
                        <w:szCs w:val="22"/>
                      </w:rPr>
                    </w:pPr>
                    <w:r>
                      <w:rPr>
                        <w:rFonts w:ascii="宋体" w:hAnsi="宋体" w:cs="宋体"/>
                        <w:sz w:val="18"/>
                        <w:szCs w:val="22"/>
                      </w:rPr>
                      <w:t xml:space="preserve">第 </w:t>
                    </w:r>
                    <w:r>
                      <w:rPr>
                        <w:rFonts w:ascii="宋体" w:hAnsi="宋体" w:cs="宋体"/>
                        <w:sz w:val="18"/>
                        <w:szCs w:val="22"/>
                      </w:rPr>
                      <w:fldChar w:fldCharType="begin"/>
                    </w:r>
                    <w:r>
                      <w:rPr>
                        <w:rFonts w:ascii="宋体" w:hAnsi="宋体" w:cs="宋体"/>
                        <w:sz w:val="18"/>
                        <w:szCs w:val="22"/>
                      </w:rPr>
                      <w:instrText xml:space="preserve"> PAGE  \* MERGEFORMAT </w:instrText>
                    </w:r>
                    <w:r>
                      <w:rPr>
                        <w:rFonts w:ascii="宋体" w:hAnsi="宋体" w:cs="宋体"/>
                        <w:sz w:val="18"/>
                        <w:szCs w:val="22"/>
                      </w:rPr>
                      <w:fldChar w:fldCharType="separate"/>
                    </w:r>
                    <w:r>
                      <w:rPr>
                        <w:rFonts w:ascii="宋体" w:hAnsi="宋体" w:cs="宋体"/>
                        <w:sz w:val="18"/>
                        <w:szCs w:val="22"/>
                      </w:rPr>
                      <w:t>1</w:t>
                    </w:r>
                    <w:r>
                      <w:rPr>
                        <w:rFonts w:ascii="宋体" w:hAnsi="宋体" w:cs="宋体"/>
                        <w:sz w:val="18"/>
                        <w:szCs w:val="22"/>
                      </w:rPr>
                      <w:fldChar w:fldCharType="end"/>
                    </w:r>
                    <w:r>
                      <w:rPr>
                        <w:rFonts w:ascii="宋体" w:hAnsi="宋体" w:cs="宋体"/>
                        <w:sz w:val="18"/>
                        <w:szCs w:val="22"/>
                      </w:rPr>
                      <w:t xml:space="preserve"> 页 共 </w:t>
                    </w:r>
                    <w:r>
                      <w:rPr>
                        <w:rFonts w:ascii="宋体" w:hAnsi="宋体" w:cs="宋体"/>
                        <w:sz w:val="18"/>
                        <w:szCs w:val="22"/>
                      </w:rPr>
                      <w:fldChar w:fldCharType="begin"/>
                    </w:r>
                    <w:r>
                      <w:rPr>
                        <w:rFonts w:ascii="宋体" w:hAnsi="宋体" w:cs="宋体"/>
                        <w:sz w:val="18"/>
                        <w:szCs w:val="22"/>
                      </w:rPr>
                      <w:instrText xml:space="preserve"> NUMPAGES  \* MERGEFORMAT </w:instrText>
                    </w:r>
                    <w:r>
                      <w:rPr>
                        <w:rFonts w:ascii="宋体" w:hAnsi="宋体" w:cs="宋体"/>
                        <w:sz w:val="18"/>
                        <w:szCs w:val="22"/>
                      </w:rPr>
                      <w:fldChar w:fldCharType="separate"/>
                    </w:r>
                    <w:r>
                      <w:rPr>
                        <w:rFonts w:ascii="宋体" w:hAnsi="宋体" w:cs="宋体"/>
                        <w:sz w:val="18"/>
                        <w:szCs w:val="22"/>
                      </w:rPr>
                      <w:t>3</w:t>
                    </w:r>
                    <w:r>
                      <w:rPr>
                        <w:rFonts w:ascii="宋体" w:hAnsi="宋体" w:cs="宋体"/>
                        <w:sz w:val="18"/>
                        <w:szCs w:val="22"/>
                      </w:rPr>
                      <w:fldChar w:fldCharType="end"/>
                    </w:r>
                    <w:r>
                      <w:rPr>
                        <w:rFonts w:ascii="宋体" w:hAnsi="宋体" w:cs="宋体"/>
                        <w:sz w:val="18"/>
                        <w:szCs w:val="22"/>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32456">
    <w:pPr>
      <w:pStyle w:val="7"/>
      <w:rPr>
        <w:sz w:val="30"/>
        <w:szCs w:val="30"/>
      </w:rPr>
    </w:pPr>
    <w:r>
      <w:rPr>
        <w:rFonts w:hint="eastAsia"/>
        <w:sz w:val="30"/>
        <w:szCs w:val="30"/>
      </w:rPr>
      <w:t>南京市溧水区人民医院招标采购文件</w:t>
    </w:r>
  </w:p>
  <w:p w14:paraId="7085B8A7">
    <w:pPr>
      <w:jc w:val="right"/>
      <w:rPr>
        <w:rFonts w:eastAsia="楷体_GB2312"/>
        <w:i/>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31B4">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9"/>
      <w:numFmt w:val="decimal"/>
      <w:lvlText w:val="%1."/>
      <w:lvlJc w:val="left"/>
      <w:pPr>
        <w:tabs>
          <w:tab w:val="left" w:pos="312"/>
        </w:tabs>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4"/>
    <w:multiLevelType w:val="singleLevel"/>
    <w:tmpl w:val="00000004"/>
    <w:lvl w:ilvl="0" w:tentative="0">
      <w:start w:val="6"/>
      <w:numFmt w:val="decimal"/>
      <w:suff w:val="nothing"/>
      <w:lvlText w:val="（%1）"/>
      <w:lvlJc w:val="left"/>
    </w:lvl>
  </w:abstractNum>
  <w:abstractNum w:abstractNumId="4">
    <w:nsid w:val="00000005"/>
    <w:multiLevelType w:val="singleLevel"/>
    <w:tmpl w:val="00000005"/>
    <w:lvl w:ilvl="0" w:tentative="0">
      <w:start w:val="2"/>
      <w:numFmt w:val="chineseCounting"/>
      <w:suff w:val="nothing"/>
      <w:lvlText w:val="%1、"/>
      <w:lvlJc w:val="left"/>
      <w:rPr>
        <w:rFonts w:hint="eastAsia"/>
      </w:rPr>
    </w:lvl>
  </w:abstractNum>
  <w:abstractNum w:abstractNumId="5">
    <w:nsid w:val="00000006"/>
    <w:multiLevelType w:val="singleLevel"/>
    <w:tmpl w:val="00000006"/>
    <w:lvl w:ilvl="0" w:tentative="0">
      <w:start w:val="3"/>
      <w:numFmt w:val="chineseCounting"/>
      <w:suff w:val="space"/>
      <w:lvlText w:val="第%1部分"/>
      <w:lvlJc w:val="left"/>
      <w:rPr>
        <w:rFonts w:hint="eastAsia"/>
      </w:rPr>
    </w:lvl>
  </w:abstractNum>
  <w:abstractNum w:abstractNumId="6">
    <w:nsid w:val="00000007"/>
    <w:multiLevelType w:val="singleLevel"/>
    <w:tmpl w:val="00000007"/>
    <w:lvl w:ilvl="0" w:tentative="0">
      <w:start w:val="5"/>
      <w:numFmt w:val="chineseCounting"/>
      <w:suff w:val="space"/>
      <w:lvlText w:val="第%1部分"/>
      <w:lvlJc w:val="left"/>
      <w:pPr>
        <w:ind w:left="3150"/>
      </w:pPr>
      <w:rPr>
        <w:rFonts w:hint="eastAsia"/>
      </w:rPr>
    </w:lvl>
  </w:abstractNum>
  <w:abstractNum w:abstractNumId="7">
    <w:nsid w:val="00000009"/>
    <w:multiLevelType w:val="singleLevel"/>
    <w:tmpl w:val="00000009"/>
    <w:lvl w:ilvl="0" w:tentative="0">
      <w:start w:val="1"/>
      <w:numFmt w:val="decimal"/>
      <w:suff w:val="nothing"/>
      <w:lvlText w:val="%1、"/>
      <w:lvlJc w:val="left"/>
    </w:lvl>
  </w:abstractNum>
  <w:abstractNum w:abstractNumId="8">
    <w:nsid w:val="0000000A"/>
    <w:multiLevelType w:val="singleLevel"/>
    <w:tmpl w:val="0000000A"/>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0"/>
  </w:num>
  <w:num w:numId="5">
    <w:abstractNumId w:val="8"/>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324407"/>
    <w:rsid w:val="4311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4"/>
    <w:basedOn w:val="1"/>
    <w:next w:val="1"/>
    <w:qFormat/>
    <w:uiPriority w:val="0"/>
    <w:pPr>
      <w:keepNext/>
      <w:keepLines/>
      <w:spacing w:before="120" w:after="120"/>
      <w:outlineLvl w:val="3"/>
    </w:pPr>
    <w:rPr>
      <w:rFonts w:ascii="Arial" w:hAnsi="Arial" w:eastAsia="黑体"/>
      <w:b/>
      <w:sz w:val="28"/>
    </w:rPr>
  </w:style>
  <w:style w:type="character" w:default="1" w:styleId="10">
    <w:name w:val="Default Paragraph Font"/>
    <w:qFormat/>
    <w:uiPriority w:val="0"/>
  </w:style>
  <w:style w:type="table" w:default="1" w:styleId="8">
    <w:name w:val="Normal Table"/>
    <w:qFormat/>
    <w:uiPriority w:val="0"/>
    <w:tblPr>
      <w:tblCellMar>
        <w:top w:w="0" w:type="dxa"/>
        <w:left w:w="108" w:type="dxa"/>
        <w:bottom w:w="0" w:type="dxa"/>
        <w:right w:w="108" w:type="dxa"/>
      </w:tblCellMar>
    </w:tblPr>
  </w:style>
  <w:style w:type="paragraph" w:styleId="4">
    <w:name w:val="Body Text"/>
    <w:basedOn w:val="1"/>
    <w:next w:val="1"/>
    <w:qFormat/>
    <w:uiPriority w:val="0"/>
    <w:rPr>
      <w:rFonts w:ascii="楷体_GB2312" w:hAnsi="Arial" w:eastAsia="楷体_GB2312"/>
      <w:sz w:val="28"/>
    </w:rPr>
  </w:style>
  <w:style w:type="paragraph" w:styleId="5">
    <w:name w:val="index 4"/>
    <w:basedOn w:val="1"/>
    <w:next w:val="1"/>
    <w:qFormat/>
    <w:uiPriority w:val="0"/>
    <w:pPr>
      <w:ind w:left="126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eastAsia="楷体_GB2312"/>
      <w:kern w:val="0"/>
      <w:sz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275</Words>
  <Characters>316</Characters>
  <Paragraphs>803</Paragraphs>
  <TotalTime>10</TotalTime>
  <ScaleCrop>false</ScaleCrop>
  <LinksUpToDate>false</LinksUpToDate>
  <CharactersWithSpaces>324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2026-04-24T00:38:00Z</dcterms:created>
  <dc:creator>冯飞扬</dc:creator>
  <cp:lastModifiedBy>冯飞扬</cp:lastModifiedBy>
  <dcterms:modified xsi:type="dcterms:W3CDTF">2026-05-15T00:33:46Z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2FFFF163938A401E9AC85A069E1DCD9D_13</vt:lpwstr>
  </property>
  <property fmtid="{D5CDD505-2E9C-101B-9397-08002B2CF9AE}" pid="4" name="KSOTemplateDocerSaveRecord">
    <vt:lpwstr>eyJoZGlkIjoiOGZmMGEyMTExYzIwYTdiNzM0MTg5ODVmNWVkOTY4ZjIiLCJ1c2VySWQiOiIyNDExNTM3NjIifQ==</vt:lpwstr>
  </property>
</Properties>
</file>