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28359011"/>
      <w:bookmarkStart w:id="1" w:name="_Toc35393797"/>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28359012"/>
      <w:bookmarkStart w:id="4" w:name="_Toc35393798"/>
      <w:bookmarkStart w:id="5" w:name="_Toc28359089"/>
      <w:bookmarkStart w:id="6" w:name="_Toc35393629"/>
    </w:p>
    <w:p w14:paraId="01880AE9">
      <w:pPr>
        <w:ind w:left="0" w:leftChars="0" w:firstLine="960" w:firstLineChars="400"/>
        <w:jc w:val="both"/>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zh-CN"/>
        </w:rPr>
        <w:t>溧水区</w:t>
      </w:r>
      <w:r>
        <w:rPr>
          <w:rFonts w:hint="eastAsia" w:ascii="仿宋" w:hAnsi="仿宋" w:eastAsia="仿宋" w:cs="仿宋"/>
          <w:b w:val="0"/>
          <w:bCs w:val="0"/>
          <w:color w:val="000000"/>
          <w:kern w:val="0"/>
          <w:sz w:val="24"/>
          <w:szCs w:val="24"/>
          <w:highlight w:val="none"/>
          <w:u w:val="none"/>
          <w:lang w:val="zh-CN" w:eastAsia="zh-CN"/>
        </w:rPr>
        <w:t>人民医院消防安全</w:t>
      </w:r>
      <w:r>
        <w:rPr>
          <w:rFonts w:hint="eastAsia" w:ascii="仿宋" w:hAnsi="仿宋" w:eastAsia="仿宋" w:cs="仿宋"/>
          <w:b w:val="0"/>
          <w:bCs w:val="0"/>
          <w:color w:val="000000"/>
          <w:kern w:val="0"/>
          <w:sz w:val="24"/>
          <w:szCs w:val="24"/>
          <w:highlight w:val="none"/>
          <w:u w:val="none"/>
          <w:lang w:val="en-US" w:eastAsia="zh-CN"/>
        </w:rPr>
        <w:t>检测、</w:t>
      </w:r>
      <w:r>
        <w:rPr>
          <w:rFonts w:hint="eastAsia" w:ascii="仿宋" w:hAnsi="仿宋" w:eastAsia="仿宋" w:cs="仿宋"/>
          <w:b w:val="0"/>
          <w:bCs w:val="0"/>
          <w:color w:val="000000"/>
          <w:kern w:val="0"/>
          <w:sz w:val="24"/>
          <w:szCs w:val="24"/>
          <w:highlight w:val="none"/>
          <w:u w:val="none"/>
          <w:lang w:val="zh-CN" w:eastAsia="zh-CN"/>
        </w:rPr>
        <w:t>评估报告出具服务</w:t>
      </w:r>
      <w:r>
        <w:rPr>
          <w:rFonts w:hint="eastAsia" w:ascii="仿宋" w:hAnsi="仿宋" w:eastAsia="仿宋" w:cs="仿宋"/>
          <w:b w:val="0"/>
          <w:bCs w:val="0"/>
          <w:color w:val="000000"/>
          <w:kern w:val="0"/>
          <w:sz w:val="24"/>
          <w:szCs w:val="24"/>
          <w:highlight w:val="none"/>
          <w:u w:val="none"/>
          <w:lang w:val="en-US" w:eastAsia="zh-CN"/>
        </w:rPr>
        <w:t>项目</w:t>
      </w:r>
      <w:r>
        <w:rPr>
          <w:rFonts w:hint="eastAsia" w:ascii="仿宋" w:hAnsi="仿宋" w:eastAsia="仿宋" w:cs="仿宋"/>
          <w:b w:val="0"/>
          <w:bCs w:val="0"/>
          <w:color w:val="000000"/>
          <w:kern w:val="0"/>
          <w:sz w:val="24"/>
          <w:szCs w:val="24"/>
          <w:highlight w:val="none"/>
          <w:u w:val="none"/>
          <w:lang w:val="zh-CN" w:eastAsia="zh-CN"/>
        </w:rPr>
        <w:t>的</w:t>
      </w:r>
      <w:r>
        <w:rPr>
          <w:rFonts w:hint="eastAsia" w:ascii="仿宋" w:hAnsi="仿宋" w:eastAsia="仿宋" w:cs="仿宋"/>
          <w:b w:val="0"/>
          <w:bCs w:val="0"/>
          <w:color w:val="000000"/>
          <w:kern w:val="0"/>
          <w:sz w:val="24"/>
          <w:szCs w:val="24"/>
          <w:highlight w:val="none"/>
          <w:u w:val="none"/>
          <w:lang w:val="zh-CN"/>
        </w:rPr>
        <w:t>潜在</w:t>
      </w:r>
      <w:r>
        <w:rPr>
          <w:rFonts w:hint="eastAsia" w:ascii="仿宋" w:hAnsi="仿宋" w:eastAsia="仿宋" w:cs="仿宋"/>
          <w:b w:val="0"/>
          <w:bCs w:val="0"/>
          <w:color w:val="000000"/>
          <w:kern w:val="0"/>
          <w:sz w:val="24"/>
          <w:szCs w:val="24"/>
          <w:highlight w:val="none"/>
          <w:u w:val="none"/>
          <w:lang w:val="zh-CN" w:eastAsia="zh-CN"/>
        </w:rPr>
        <w:t>服务商</w:t>
      </w:r>
      <w:r>
        <w:rPr>
          <w:rFonts w:hint="eastAsia" w:ascii="仿宋" w:hAnsi="仿宋" w:eastAsia="仿宋" w:cs="仿宋"/>
          <w:b w:val="0"/>
          <w:bCs w:val="0"/>
          <w:color w:val="000000"/>
          <w:kern w:val="0"/>
          <w:sz w:val="24"/>
          <w:szCs w:val="24"/>
          <w:highlight w:val="none"/>
          <w:u w:val="none"/>
          <w:lang w:val="zh-CN"/>
        </w:rPr>
        <w:t>应在溧水区人民医</w:t>
      </w:r>
      <w:r>
        <w:rPr>
          <w:rFonts w:hint="eastAsia" w:ascii="仿宋" w:hAnsi="仿宋" w:eastAsia="仿宋" w:cs="仿宋"/>
          <w:b w:val="0"/>
          <w:bCs w:val="0"/>
          <w:color w:val="000000"/>
          <w:kern w:val="0"/>
          <w:sz w:val="24"/>
          <w:szCs w:val="24"/>
          <w:highlight w:val="none"/>
          <w:u w:val="none"/>
        </w:rPr>
        <w:t>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月</w:t>
      </w:r>
      <w:r>
        <w:rPr>
          <w:rFonts w:hint="eastAsia" w:cs="仿宋"/>
          <w:b w:val="0"/>
          <w:bCs w:val="0"/>
          <w:color w:val="000000"/>
          <w:kern w:val="0"/>
          <w:sz w:val="24"/>
          <w:szCs w:val="24"/>
          <w:highlight w:val="none"/>
          <w:u w:val="none"/>
          <w:lang w:val="en-US" w:eastAsia="zh-CN"/>
        </w:rPr>
        <w:t>1</w:t>
      </w:r>
      <w:r>
        <w:rPr>
          <w:rFonts w:hint="eastAsia" w:ascii="仿宋" w:hAnsi="仿宋" w:eastAsia="仿宋"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14</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cs="仿宋"/>
          <w:b w:val="0"/>
          <w:bCs w:val="0"/>
          <w:color w:val="000000"/>
          <w:kern w:val="0"/>
          <w:sz w:val="24"/>
          <w:szCs w:val="24"/>
          <w:highlight w:val="none"/>
          <w:u w:val="none"/>
          <w:lang w:val="en-US" w:eastAsia="zh-CN"/>
        </w:rPr>
        <w:t>Q002</w:t>
      </w:r>
    </w:p>
    <w:tbl>
      <w:tblPr>
        <w:tblStyle w:val="20"/>
        <w:tblW w:w="9908"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20"/>
        <w:gridCol w:w="2549"/>
        <w:gridCol w:w="2862"/>
        <w:gridCol w:w="1510"/>
      </w:tblGrid>
      <w:tr w14:paraId="32D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481DF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包号</w:t>
            </w:r>
          </w:p>
        </w:tc>
        <w:tc>
          <w:tcPr>
            <w:tcW w:w="2220" w:type="dxa"/>
          </w:tcPr>
          <w:p w14:paraId="4C111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项目名称</w:t>
            </w:r>
          </w:p>
        </w:tc>
        <w:tc>
          <w:tcPr>
            <w:tcW w:w="2549" w:type="dxa"/>
          </w:tcPr>
          <w:p w14:paraId="07C895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w:t>
            </w:r>
          </w:p>
        </w:tc>
        <w:tc>
          <w:tcPr>
            <w:tcW w:w="2862" w:type="dxa"/>
          </w:tcPr>
          <w:p w14:paraId="28CAD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c>
          <w:tcPr>
            <w:tcW w:w="1510" w:type="dxa"/>
          </w:tcPr>
          <w:p w14:paraId="1F0059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采购方式</w:t>
            </w:r>
          </w:p>
        </w:tc>
      </w:tr>
      <w:tr w14:paraId="08F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4A2EA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01</w:t>
            </w:r>
          </w:p>
        </w:tc>
        <w:tc>
          <w:tcPr>
            <w:tcW w:w="2220" w:type="dxa"/>
          </w:tcPr>
          <w:p w14:paraId="0FA78897">
            <w:pPr>
              <w:ind w:left="0" w:leftChars="0" w:firstLine="0" w:firstLineChars="0"/>
              <w:jc w:val="both"/>
              <w:rPr>
                <w:rFonts w:hint="default" w:ascii="仿宋" w:hAnsi="仿宋" w:eastAsia="仿宋" w:cs="仿宋"/>
                <w:b w:val="0"/>
                <w:bCs w:val="0"/>
                <w:color w:val="000000"/>
                <w:kern w:val="0"/>
                <w:sz w:val="24"/>
                <w:szCs w:val="24"/>
                <w:highlight w:val="none"/>
                <w:u w:val="none"/>
                <w:lang w:val="en-US"/>
              </w:rPr>
            </w:pPr>
            <w:r>
              <w:rPr>
                <w:rFonts w:hint="eastAsia" w:ascii="仿宋" w:hAnsi="仿宋" w:eastAsia="仿宋" w:cs="仿宋"/>
                <w:b w:val="0"/>
                <w:bCs w:val="0"/>
                <w:color w:val="000000"/>
                <w:kern w:val="0"/>
                <w:sz w:val="24"/>
                <w:szCs w:val="24"/>
                <w:highlight w:val="none"/>
                <w:u w:val="none"/>
                <w:lang w:val="zh-CN" w:eastAsia="zh-CN"/>
              </w:rPr>
              <w:t>消防安全</w:t>
            </w:r>
            <w:r>
              <w:rPr>
                <w:rFonts w:hint="eastAsia" w:ascii="仿宋" w:hAnsi="仿宋" w:eastAsia="仿宋" w:cs="仿宋"/>
                <w:b w:val="0"/>
                <w:bCs w:val="0"/>
                <w:color w:val="000000"/>
                <w:kern w:val="0"/>
                <w:sz w:val="24"/>
                <w:szCs w:val="24"/>
                <w:highlight w:val="none"/>
                <w:u w:val="none"/>
                <w:lang w:val="en-US" w:eastAsia="zh-CN"/>
              </w:rPr>
              <w:t>检测、</w:t>
            </w:r>
            <w:r>
              <w:rPr>
                <w:rFonts w:hint="eastAsia" w:ascii="仿宋" w:hAnsi="仿宋" w:eastAsia="仿宋" w:cs="仿宋"/>
                <w:b w:val="0"/>
                <w:bCs w:val="0"/>
                <w:color w:val="000000"/>
                <w:kern w:val="0"/>
                <w:sz w:val="24"/>
                <w:szCs w:val="24"/>
                <w:highlight w:val="none"/>
                <w:u w:val="none"/>
                <w:lang w:val="zh-CN" w:eastAsia="zh-CN"/>
              </w:rPr>
              <w:t>评估报告出具服务</w:t>
            </w:r>
          </w:p>
        </w:tc>
        <w:tc>
          <w:tcPr>
            <w:tcW w:w="2549" w:type="dxa"/>
          </w:tcPr>
          <w:p w14:paraId="31A0A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4万元/年</w:t>
            </w:r>
          </w:p>
        </w:tc>
        <w:tc>
          <w:tcPr>
            <w:tcW w:w="2862" w:type="dxa"/>
          </w:tcPr>
          <w:p w14:paraId="76D08A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一招</w:t>
            </w:r>
            <w:r>
              <w:rPr>
                <w:rFonts w:hint="eastAsia" w:cs="仿宋"/>
                <w:b w:val="0"/>
                <w:bCs w:val="0"/>
                <w:color w:val="000000"/>
                <w:kern w:val="0"/>
                <w:sz w:val="24"/>
                <w:szCs w:val="24"/>
                <w:highlight w:val="none"/>
                <w:u w:val="none"/>
                <w:lang w:val="en-US" w:eastAsia="zh-CN"/>
              </w:rPr>
              <w:t>三</w:t>
            </w:r>
            <w:r>
              <w:rPr>
                <w:rFonts w:hint="eastAsia" w:ascii="仿宋" w:hAnsi="仿宋" w:eastAsia="仿宋" w:cs="仿宋"/>
                <w:b w:val="0"/>
                <w:bCs w:val="0"/>
                <w:color w:val="000000"/>
                <w:kern w:val="0"/>
                <w:sz w:val="24"/>
                <w:szCs w:val="24"/>
                <w:highlight w:val="none"/>
                <w:u w:val="none"/>
                <w:lang w:val="en-US" w:eastAsia="zh-CN"/>
              </w:rPr>
              <w:t>年，合同一年一签</w:t>
            </w:r>
          </w:p>
        </w:tc>
        <w:tc>
          <w:tcPr>
            <w:tcW w:w="1510" w:type="dxa"/>
          </w:tcPr>
          <w:p w14:paraId="767609D5">
            <w:pPr>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询价</w:t>
            </w: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bookmarkStart w:id="7" w:name="_Toc28359090"/>
      <w:bookmarkStart w:id="8" w:name="_Toc35393799"/>
      <w:bookmarkStart w:id="9" w:name="_Toc28359013"/>
      <w:bookmarkStart w:id="10" w:name="_Toc35393630"/>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7"/>
      <w:bookmarkEnd w:id="8"/>
      <w:bookmarkEnd w:id="9"/>
      <w:bookmarkEnd w:id="10"/>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1" w:name="_Toc28359092"/>
      <w:bookmarkStart w:id="12" w:name="_Toc28359015"/>
      <w:bookmarkStart w:id="13" w:name="_Toc35393632"/>
      <w:bookmarkStart w:id="14" w:name="_Toc35393801"/>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r>
        <w:rPr>
          <w:rFonts w:hint="eastAsia" w:ascii="宋体" w:hAnsi="宋体" w:cs="宋体"/>
          <w:color w:val="000000"/>
          <w:sz w:val="24"/>
          <w:szCs w:val="24"/>
          <w:highlight w:val="white"/>
          <w:lang w:eastAsia="zh-CN"/>
        </w:rPr>
        <w:t>（</w:t>
      </w:r>
      <w:r>
        <w:rPr>
          <w:rFonts w:hint="eastAsia" w:ascii="宋体" w:hAnsi="宋体" w:cs="宋体"/>
          <w:color w:val="000000"/>
          <w:sz w:val="24"/>
          <w:szCs w:val="24"/>
          <w:highlight w:val="white"/>
        </w:rPr>
        <w:t>提供法人或者其他组织的营业执照、经营许可证等证明文件</w:t>
      </w:r>
      <w:r>
        <w:rPr>
          <w:rFonts w:hint="eastAsia" w:ascii="宋体" w:hAnsi="宋体" w:cs="宋体"/>
          <w:color w:val="000000"/>
          <w:sz w:val="24"/>
          <w:szCs w:val="24"/>
          <w:highlight w:val="white"/>
          <w:lang w:eastAsia="zh-CN"/>
        </w:rPr>
        <w:t>，</w:t>
      </w:r>
      <w:r>
        <w:rPr>
          <w:rFonts w:hint="eastAsia" w:ascii="宋体" w:hAnsi="宋体" w:cs="宋体"/>
          <w:color w:val="000000"/>
          <w:sz w:val="24"/>
          <w:szCs w:val="24"/>
          <w:highlight w:val="white"/>
          <w:lang w:val="en-US" w:eastAsia="zh-CN"/>
        </w:rPr>
        <w:t>营业执照经营范围应包含“消防安全评估”或“消防设施维保保养检测”的内容）</w:t>
      </w:r>
    </w:p>
    <w:p w14:paraId="6B7D9F5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信用承诺书上必须含二维码，不可以自行打印填写此表，需要到指定网站下载</w:t>
      </w:r>
      <w:r>
        <w:rPr>
          <w:rFonts w:hint="eastAsia" w:ascii="仿宋" w:hAnsi="仿宋" w:eastAsia="仿宋" w:cs="仿宋"/>
          <w:b w:val="0"/>
          <w:bCs w:val="0"/>
          <w:sz w:val="24"/>
          <w:szCs w:val="24"/>
          <w:highlight w:val="none"/>
          <w:u w:val="none"/>
          <w:lang w:eastAsia="zh-CN"/>
        </w:rPr>
        <w:t>）</w:t>
      </w:r>
    </w:p>
    <w:p w14:paraId="20ED2553">
      <w:pPr>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54C9442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信用承诺书上必须含二维码，不可以自行打印填写此表，需要到指定网站下载</w:t>
      </w:r>
      <w:r>
        <w:rPr>
          <w:rFonts w:hint="eastAsia" w:ascii="仿宋" w:hAnsi="仿宋" w:eastAsia="仿宋" w:cs="仿宋"/>
          <w:b w:val="0"/>
          <w:bCs w:val="0"/>
          <w:sz w:val="24"/>
          <w:szCs w:val="24"/>
          <w:highlight w:val="none"/>
          <w:u w:val="none"/>
          <w:lang w:eastAsia="zh-CN"/>
        </w:rPr>
        <w:t>）</w:t>
      </w:r>
    </w:p>
    <w:p w14:paraId="66486D1D">
      <w:pPr>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4D2CA3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color w:val="000000"/>
          <w:sz w:val="24"/>
          <w:szCs w:val="24"/>
          <w:highlight w:val="white"/>
          <w:lang w:val="en-US" w:eastAsia="zh-CN"/>
        </w:rPr>
      </w:pPr>
      <w:r>
        <w:rPr>
          <w:rFonts w:hint="eastAsia" w:ascii="宋体" w:hAnsi="宋体" w:cs="宋体"/>
          <w:color w:val="000000"/>
          <w:sz w:val="24"/>
          <w:szCs w:val="24"/>
          <w:highlight w:val="white"/>
          <w:lang w:val="en-US" w:eastAsia="zh-CN"/>
        </w:rPr>
        <w:t>本项目特殊资质要求：</w:t>
      </w:r>
    </w:p>
    <w:p w14:paraId="76F2632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color w:val="000000"/>
          <w:sz w:val="24"/>
          <w:szCs w:val="24"/>
          <w:highlight w:val="white"/>
          <w:lang w:val="en-US" w:eastAsia="zh-CN"/>
        </w:rPr>
      </w:pPr>
      <w:r>
        <w:rPr>
          <w:rFonts w:hint="eastAsia" w:ascii="宋体" w:hAnsi="宋体" w:cs="宋体"/>
          <w:color w:val="000000"/>
          <w:sz w:val="24"/>
          <w:szCs w:val="24"/>
          <w:highlight w:val="white"/>
          <w:lang w:val="en-US" w:eastAsia="zh-CN"/>
        </w:rPr>
        <w:t>在社会消防技术服务网（https://shhxf.119.gov.cn/templet/index_7.jsp）单位类型含“消防安全评估”内容（提供相应截图并加盖公章）；</w:t>
      </w:r>
    </w:p>
    <w:p w14:paraId="45CF547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color w:val="000000"/>
          <w:sz w:val="24"/>
          <w:szCs w:val="24"/>
          <w:highlight w:val="white"/>
          <w:lang w:val="en-US" w:eastAsia="zh-CN"/>
        </w:rPr>
      </w:pPr>
      <w:r>
        <w:rPr>
          <w:rFonts w:hint="eastAsia" w:ascii="宋体" w:hAnsi="宋体" w:cs="宋体"/>
          <w:color w:val="000000"/>
          <w:sz w:val="24"/>
          <w:szCs w:val="24"/>
          <w:highlight w:val="white"/>
          <w:lang w:val="en-US" w:eastAsia="zh-CN"/>
        </w:rPr>
        <w:t>提供一份与此项目相关的三级医院业绩。</w:t>
      </w:r>
    </w:p>
    <w:p w14:paraId="19A0B6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zh-CN"/>
        </w:rPr>
      </w:pP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27</w:t>
      </w:r>
      <w:r>
        <w:rPr>
          <w:rFonts w:hint="eastAsia" w:ascii="仿宋" w:hAnsi="仿宋" w:eastAsia="仿宋" w:cs="仿宋"/>
          <w:b w:val="0"/>
          <w:bCs w:val="0"/>
          <w:sz w:val="24"/>
          <w:szCs w:val="24"/>
          <w:highlight w:val="none"/>
          <w:u w:val="none"/>
        </w:rPr>
        <w:t>日-202</w:t>
      </w:r>
      <w:r>
        <w:rPr>
          <w:rFonts w:hint="eastAsia"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29</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rPr>
        <w:t>日</w:t>
      </w:r>
      <w:r>
        <w:rPr>
          <w:rFonts w:hint="eastAsia" w:cs="仿宋"/>
          <w:b w:val="0"/>
          <w:bCs w:val="0"/>
          <w:sz w:val="24"/>
          <w:szCs w:val="24"/>
          <w:highlight w:val="none"/>
          <w:u w:val="none"/>
          <w:lang w:val="en-US" w:eastAsia="zh-CN"/>
        </w:rPr>
        <w:t>14</w:t>
      </w:r>
      <w:r>
        <w:rPr>
          <w:rFonts w:hint="eastAsia" w:ascii="仿宋" w:hAnsi="仿宋" w:eastAsia="仿宋" w:cs="仿宋"/>
          <w:b w:val="0"/>
          <w:bCs w:val="0"/>
          <w:sz w:val="24"/>
          <w:szCs w:val="24"/>
          <w:highlight w:val="none"/>
          <w:u w:val="none"/>
        </w:rPr>
        <w:t>点</w:t>
      </w:r>
      <w:r>
        <w:rPr>
          <w:rFonts w:hint="eastAsia"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r>
        <w:rPr>
          <w:rFonts w:hint="eastAsia" w:cs="仿宋"/>
          <w:b w:val="0"/>
          <w:bCs w:val="0"/>
          <w:sz w:val="24"/>
          <w:szCs w:val="24"/>
          <w:highlight w:val="none"/>
          <w:u w:val="none"/>
          <w:lang w:val="en-US" w:eastAsia="zh-CN"/>
        </w:rPr>
        <w:t>迟到者不接收</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5" w:name="_Toc35393803"/>
      <w:bookmarkStart w:id="16" w:name="_Toc35393634"/>
      <w:bookmarkStart w:id="17" w:name="_Toc28359094"/>
      <w:bookmarkStart w:id="18" w:name="_Toc28359017"/>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9" w:name="_Toc35393805"/>
      <w:bookmarkStart w:id="20" w:name="_Toc35393636"/>
      <w:bookmarkStart w:id="21" w:name="_Toc28359018"/>
      <w:bookmarkStart w:id="22" w:name="_Toc28359095"/>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w:t>
      </w:r>
      <w:r>
        <w:rPr>
          <w:rFonts w:hint="eastAsia" w:cs="仿宋"/>
          <w:b w:val="0"/>
          <w:bCs w:val="0"/>
          <w:sz w:val="24"/>
          <w:szCs w:val="24"/>
          <w:highlight w:val="none"/>
          <w:u w:val="none"/>
          <w:lang w:val="en-US" w:eastAsia="zh-CN"/>
        </w:rPr>
        <w:t>安保科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cs="仿宋"/>
          <w:b w:val="0"/>
          <w:bCs w:val="0"/>
          <w:sz w:val="24"/>
          <w:szCs w:val="24"/>
          <w:highlight w:val="none"/>
          <w:u w:val="none"/>
          <w:lang w:val="en-US" w:eastAsia="zh-CN"/>
        </w:rPr>
        <w:t>66施主任</w:t>
      </w:r>
      <w:r>
        <w:rPr>
          <w:rFonts w:hint="eastAsia" w:ascii="仿宋" w:hAnsi="仿宋" w:eastAsia="仿宋" w:cs="仿宋"/>
          <w:b w:val="0"/>
          <w:bCs w:val="0"/>
          <w:sz w:val="24"/>
          <w:szCs w:val="24"/>
          <w:highlight w:val="none"/>
          <w:u w:val="none"/>
        </w:rPr>
        <w:t>（</w:t>
      </w:r>
      <w:r>
        <w:rPr>
          <w:rFonts w:hint="eastAsia" w:cs="仿宋"/>
          <w:b w:val="0"/>
          <w:bCs w:val="0"/>
          <w:sz w:val="24"/>
          <w:szCs w:val="24"/>
          <w:highlight w:val="none"/>
          <w:u w:val="none"/>
          <w:lang w:val="en-US" w:eastAsia="zh-CN"/>
        </w:rPr>
        <w:t>安保科</w:t>
      </w:r>
      <w:r>
        <w:rPr>
          <w:rFonts w:hint="eastAsia" w:ascii="仿宋" w:hAnsi="仿宋" w:eastAsia="仿宋" w:cs="仿宋"/>
          <w:b w:val="0"/>
          <w:bCs w:val="0"/>
          <w:sz w:val="24"/>
          <w:szCs w:val="24"/>
          <w:highlight w:val="none"/>
          <w:u w:val="none"/>
        </w:rPr>
        <w:t>）</w:t>
      </w:r>
    </w:p>
    <w:p w14:paraId="02C26F56">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eastAsia="仿宋"/>
          <w:lang w:eastAsia="zh-CN"/>
        </w:rPr>
      </w:pPr>
      <w:r>
        <w:rPr>
          <w:rFonts w:hint="eastAsia" w:ascii="仿宋" w:hAnsi="仿宋" w:eastAsia="仿宋" w:cs="仿宋"/>
          <w:b w:val="0"/>
          <w:bCs w:val="0"/>
          <w:sz w:val="24"/>
          <w:szCs w:val="24"/>
          <w:highlight w:val="none"/>
          <w:u w:val="none"/>
        </w:rPr>
        <w:t>025-56232023秦老师（采购中心</w:t>
      </w:r>
      <w:r>
        <w:rPr>
          <w:rFonts w:hint="eastAsia" w:cs="仿宋"/>
          <w:b w:val="0"/>
          <w:bCs w:val="0"/>
          <w:sz w:val="24"/>
          <w:szCs w:val="24"/>
          <w:highlight w:val="none"/>
          <w:u w:val="none"/>
          <w:lang w:eastAsia="zh-CN"/>
        </w:rPr>
        <w:t>）</w:t>
      </w:r>
    </w:p>
    <w:p w14:paraId="1CF6DA32">
      <w:pPr>
        <w:rPr>
          <w:rFonts w:hint="default" w:ascii="仿宋" w:hAnsi="仿宋" w:eastAsia="仿宋" w:cs="仿宋"/>
          <w:b/>
          <w:bCs/>
          <w:sz w:val="28"/>
          <w:szCs w:val="28"/>
          <w:highlight w:val="none"/>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2B4C557E">
      <w:pPr>
        <w:spacing w:line="400" w:lineRule="exact"/>
        <w:ind w:left="0" w:leftChars="0" w:firstLine="0" w:firstLineChars="0"/>
        <w:rPr>
          <w:rFonts w:hint="default" w:ascii="仿宋" w:hAnsi="仿宋" w:eastAsia="仿宋" w:cs="仿宋"/>
          <w:b/>
          <w:bCs/>
          <w:sz w:val="24"/>
          <w:szCs w:val="24"/>
          <w:highlight w:val="none"/>
          <w:u w:val="none"/>
          <w:lang w:val="en-US" w:eastAsia="zh-CN"/>
        </w:rPr>
      </w:pPr>
      <w:bookmarkStart w:id="23" w:name="_Toc171603703"/>
      <w:bookmarkStart w:id="24" w:name="_Toc214634113"/>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服务条款（根据此项内容填写《服务条款响应偏离表》，（一）（二）要求逐一响应）</w:t>
      </w:r>
    </w:p>
    <w:bookmarkEnd w:id="23"/>
    <w:bookmarkEnd w:id="24"/>
    <w:tbl>
      <w:tblPr>
        <w:tblStyle w:val="20"/>
        <w:tblW w:w="1067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005"/>
        <w:gridCol w:w="896"/>
        <w:gridCol w:w="6882"/>
      </w:tblGrid>
      <w:tr w14:paraId="1FFF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14:paraId="0B5658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bookmarkStart w:id="25" w:name="heading_3"/>
            <w:r>
              <w:rPr>
                <w:rFonts w:hint="eastAsia" w:ascii="仿宋" w:hAnsi="仿宋" w:eastAsia="仿宋" w:cs="仿宋"/>
                <w:b w:val="0"/>
                <w:bCs w:val="0"/>
                <w:sz w:val="24"/>
                <w:szCs w:val="24"/>
                <w:highlight w:val="none"/>
                <w:u w:val="none"/>
                <w:lang w:val="en-US" w:eastAsia="zh-CN"/>
              </w:rPr>
              <w:t>序号</w:t>
            </w:r>
          </w:p>
        </w:tc>
        <w:tc>
          <w:tcPr>
            <w:tcW w:w="2005" w:type="dxa"/>
          </w:tcPr>
          <w:p w14:paraId="56D4FA8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内容</w:t>
            </w:r>
          </w:p>
        </w:tc>
        <w:tc>
          <w:tcPr>
            <w:tcW w:w="896" w:type="dxa"/>
          </w:tcPr>
          <w:p w14:paraId="3A3B8D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数量</w:t>
            </w:r>
          </w:p>
        </w:tc>
        <w:tc>
          <w:tcPr>
            <w:tcW w:w="6882" w:type="dxa"/>
          </w:tcPr>
          <w:p w14:paraId="4BCC166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备注说明</w:t>
            </w:r>
          </w:p>
        </w:tc>
      </w:tr>
      <w:tr w14:paraId="59C8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7538152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2005" w:type="dxa"/>
            <w:vAlign w:val="center"/>
          </w:tcPr>
          <w:p w14:paraId="17ED6A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消防安全检测与评估报告出具及相关服务（预估面积15.5万㎡）</w:t>
            </w:r>
          </w:p>
        </w:tc>
        <w:tc>
          <w:tcPr>
            <w:tcW w:w="896" w:type="dxa"/>
            <w:vAlign w:val="center"/>
          </w:tcPr>
          <w:p w14:paraId="03107CD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1项</w:t>
            </w:r>
          </w:p>
        </w:tc>
        <w:tc>
          <w:tcPr>
            <w:tcW w:w="6882" w:type="dxa"/>
            <w:vAlign w:val="center"/>
          </w:tcPr>
          <w:p w14:paraId="700935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1.服务单位应具有相应服务资质，详见“询价邀请函：二、供</w:t>
            </w:r>
          </w:p>
          <w:p w14:paraId="48C2D8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应商资格要求”；</w:t>
            </w:r>
          </w:p>
          <w:p w14:paraId="249D2E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US" w:eastAsia="zh-CN"/>
              </w:rPr>
              <w:t>项目负责人具有一级注册消防工程师资质；除项目负责人外，本项目其他进场人员具有二级注册消防工程师资质（提供本项目进场人员相应资质证明和投标前一个月供应商为其缴纳社保保险证明并加盖供应商公章）；</w:t>
            </w:r>
          </w:p>
          <w:p w14:paraId="254989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US" w:eastAsia="zh-CN"/>
              </w:rPr>
              <w:t>应按照《人员密集场所消防安全评估导则》进行安全评估活动；</w:t>
            </w:r>
          </w:p>
          <w:p w14:paraId="0AD785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4.应保证采购人通过主管部门验收；</w:t>
            </w:r>
          </w:p>
          <w:p w14:paraId="4D61360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5.范围：南京市溧水区人民医院整个院区内需做消防安全评估的区域。</w:t>
            </w:r>
          </w:p>
        </w:tc>
      </w:tr>
    </w:tbl>
    <w:p w14:paraId="1CE4C5A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bookmarkEnd w:id="25"/>
    <w:p w14:paraId="771B2A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cs="仿宋"/>
          <w:b/>
          <w:bCs/>
          <w:sz w:val="24"/>
          <w:szCs w:val="24"/>
          <w:highlight w:val="none"/>
          <w:u w:val="none"/>
          <w:lang w:val="en-US" w:eastAsia="zh-CN"/>
        </w:rPr>
        <w:t>二</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商务条款（根据此项内容填写《商务条款响应偏离表》，要求逐一响应）</w:t>
      </w:r>
    </w:p>
    <w:p w14:paraId="38FDBF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（一）服务期：一招三年，合同一年一签。</w:t>
      </w:r>
    </w:p>
    <w:p w14:paraId="5AAC56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w:t>
      </w:r>
      <w:r>
        <w:rPr>
          <w:rFonts w:hint="eastAsia" w:cs="仿宋"/>
          <w:b w:val="0"/>
          <w:bCs w:val="0"/>
          <w:sz w:val="24"/>
          <w:szCs w:val="24"/>
          <w:highlight w:val="none"/>
          <w:u w:val="none"/>
          <w:lang w:val="en-US" w:eastAsia="zh-CN"/>
        </w:rPr>
        <w:t>二</w:t>
      </w:r>
      <w:r>
        <w:rPr>
          <w:rFonts w:hint="eastAsia" w:ascii="仿宋" w:hAnsi="仿宋" w:eastAsia="仿宋" w:cs="仿宋"/>
          <w:b w:val="0"/>
          <w:bCs w:val="0"/>
          <w:sz w:val="24"/>
          <w:szCs w:val="24"/>
          <w:highlight w:val="none"/>
          <w:u w:val="none"/>
          <w:lang w:val="en-US" w:eastAsia="zh-CN"/>
        </w:rPr>
        <w:t>）交付时间、验收及付款</w:t>
      </w:r>
    </w:p>
    <w:p w14:paraId="743693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1.交付地点：南京市溧水区人民医院指定地点。</w:t>
      </w:r>
    </w:p>
    <w:p w14:paraId="35F733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2.交付时间：</w:t>
      </w:r>
      <w:r>
        <w:rPr>
          <w:rFonts w:hint="eastAsia" w:cs="仿宋"/>
          <w:b w:val="0"/>
          <w:bCs w:val="0"/>
          <w:sz w:val="24"/>
          <w:szCs w:val="24"/>
          <w:highlight w:val="none"/>
          <w:u w:val="none"/>
          <w:lang w:val="en-US" w:eastAsia="zh-CN"/>
        </w:rPr>
        <w:t>每年度</w:t>
      </w:r>
      <w:r>
        <w:rPr>
          <w:rFonts w:hint="eastAsia" w:ascii="仿宋" w:hAnsi="仿宋" w:eastAsia="仿宋" w:cs="仿宋"/>
          <w:b w:val="0"/>
          <w:bCs w:val="0"/>
          <w:sz w:val="24"/>
          <w:szCs w:val="24"/>
          <w:highlight w:val="none"/>
          <w:u w:val="none"/>
          <w:lang w:val="en-US" w:eastAsia="zh-CN"/>
        </w:rPr>
        <w:t>应</w:t>
      </w:r>
      <w:r>
        <w:rPr>
          <w:rFonts w:hint="eastAsia" w:cs="仿宋"/>
          <w:b w:val="0"/>
          <w:bCs w:val="0"/>
          <w:sz w:val="24"/>
          <w:szCs w:val="24"/>
          <w:highlight w:val="none"/>
          <w:u w:val="none"/>
          <w:lang w:val="en-US" w:eastAsia="zh-CN"/>
        </w:rPr>
        <w:t>在合同签订后</w:t>
      </w:r>
      <w:r>
        <w:rPr>
          <w:rFonts w:hint="eastAsia" w:cs="仿宋"/>
          <w:b/>
          <w:bCs/>
          <w:sz w:val="24"/>
          <w:szCs w:val="24"/>
          <w:highlight w:val="none"/>
          <w:u w:val="single"/>
          <w:lang w:val="en-US" w:eastAsia="zh-CN"/>
        </w:rPr>
        <w:t>一个月</w:t>
      </w:r>
      <w:r>
        <w:rPr>
          <w:rFonts w:hint="eastAsia" w:cs="仿宋"/>
          <w:b w:val="0"/>
          <w:bCs w:val="0"/>
          <w:sz w:val="24"/>
          <w:szCs w:val="24"/>
          <w:highlight w:val="none"/>
          <w:u w:val="none"/>
          <w:lang w:val="en-US" w:eastAsia="zh-CN"/>
        </w:rPr>
        <w:t>内出具</w:t>
      </w:r>
      <w:r>
        <w:rPr>
          <w:rFonts w:hint="eastAsia" w:ascii="仿宋" w:hAnsi="仿宋" w:eastAsia="仿宋" w:cs="仿宋"/>
          <w:b w:val="0"/>
          <w:bCs w:val="0"/>
          <w:sz w:val="24"/>
          <w:szCs w:val="24"/>
          <w:highlight w:val="none"/>
          <w:u w:val="none"/>
          <w:lang w:val="en-US" w:eastAsia="zh-CN"/>
        </w:rPr>
        <w:t>合格的消防安全评估报告，并保证能通过主管部门验收。</w:t>
      </w:r>
    </w:p>
    <w:p w14:paraId="568871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3.验收：以主管部门（辖区消防部门）的收到安全评估报告后的评价结果为准。主管部门评估合格方为验收通过。</w:t>
      </w:r>
    </w:p>
    <w:p w14:paraId="37B9A8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cs="仿宋"/>
          <w:b w:val="0"/>
          <w:bCs w:val="0"/>
          <w:sz w:val="24"/>
          <w:szCs w:val="24"/>
          <w:highlight w:val="none"/>
          <w:u w:val="none"/>
          <w:lang w:val="en-US" w:eastAsia="zh-CN"/>
        </w:rPr>
      </w:pPr>
      <w:r>
        <w:rPr>
          <w:rFonts w:hint="eastAsia" w:ascii="仿宋" w:hAnsi="仿宋" w:cs="仿宋"/>
          <w:b w:val="0"/>
          <w:bCs w:val="0"/>
          <w:sz w:val="24"/>
          <w:szCs w:val="24"/>
          <w:highlight w:val="none"/>
          <w:u w:val="none"/>
          <w:lang w:val="en-US" w:eastAsia="zh-CN"/>
        </w:rPr>
        <w:t>（</w:t>
      </w:r>
      <w:r>
        <w:rPr>
          <w:rFonts w:hint="eastAsia" w:cs="仿宋"/>
          <w:b w:val="0"/>
          <w:bCs w:val="0"/>
          <w:sz w:val="24"/>
          <w:szCs w:val="24"/>
          <w:highlight w:val="none"/>
          <w:u w:val="none"/>
          <w:lang w:val="en-US" w:eastAsia="zh-CN"/>
        </w:rPr>
        <w:t>三</w:t>
      </w:r>
      <w:r>
        <w:rPr>
          <w:rFonts w:hint="eastAsia" w:ascii="仿宋" w:hAnsi="仿宋" w:cs="仿宋"/>
          <w:b w:val="0"/>
          <w:bCs w:val="0"/>
          <w:sz w:val="24"/>
          <w:szCs w:val="24"/>
          <w:highlight w:val="none"/>
          <w:u w:val="none"/>
          <w:lang w:val="en-US" w:eastAsia="zh-CN"/>
        </w:rPr>
        <w:t>）付款方式：</w:t>
      </w:r>
    </w:p>
    <w:p w14:paraId="282F56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（1）申请付款前，供应商应提交合规发票给采购人；验收合格之前采购人不付款。</w:t>
      </w:r>
    </w:p>
    <w:p w14:paraId="5F3E233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（2）主管部门（辖区消防部门）收到采购人提交的消防安全评估报告，反馈通过的，供应商方可开具本项目全款发票，采购人收到发票后按照医院正常流程付全</w:t>
      </w:r>
      <w:r>
        <w:rPr>
          <w:rFonts w:hint="eastAsia" w:cs="仿宋"/>
          <w:b w:val="0"/>
          <w:bCs w:val="0"/>
          <w:sz w:val="24"/>
          <w:szCs w:val="24"/>
          <w:highlight w:val="none"/>
          <w:u w:val="none"/>
          <w:lang w:val="en-US" w:eastAsia="zh-CN"/>
        </w:rPr>
        <w:t>款。</w:t>
      </w:r>
    </w:p>
    <w:p w14:paraId="2B45B7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lang w:val="en-US" w:eastAsia="zh-CN"/>
        </w:rPr>
      </w:pPr>
      <w:r>
        <w:rPr>
          <w:rFonts w:hint="eastAsia" w:ascii="仿宋" w:hAnsi="仿宋" w:cs="仿宋"/>
          <w:b w:val="0"/>
          <w:bCs w:val="0"/>
          <w:sz w:val="24"/>
          <w:szCs w:val="24"/>
          <w:highlight w:val="none"/>
          <w:u w:val="none"/>
          <w:lang w:val="en-US" w:eastAsia="zh-CN"/>
        </w:rPr>
        <w:t>（</w:t>
      </w:r>
      <w:r>
        <w:rPr>
          <w:rFonts w:hint="eastAsia" w:cs="仿宋"/>
          <w:b w:val="0"/>
          <w:bCs w:val="0"/>
          <w:sz w:val="24"/>
          <w:szCs w:val="24"/>
          <w:highlight w:val="none"/>
          <w:u w:val="none"/>
          <w:lang w:val="en-US" w:eastAsia="zh-CN"/>
        </w:rPr>
        <w:t>四</w:t>
      </w:r>
      <w:r>
        <w:rPr>
          <w:rFonts w:hint="eastAsia" w:ascii="仿宋" w:hAnsi="仿宋" w:cs="仿宋"/>
          <w:b w:val="0"/>
          <w:bCs w:val="0"/>
          <w:sz w:val="24"/>
          <w:szCs w:val="24"/>
          <w:highlight w:val="none"/>
          <w:u w:val="none"/>
          <w:lang w:val="en-US" w:eastAsia="zh-CN"/>
        </w:rPr>
        <w:t>）违约责任</w:t>
      </w:r>
    </w:p>
    <w:p w14:paraId="56F6CB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1、对乙方不按规定履行义务，在检测中弄虚作假或严重不负责任的，或转包、分包消防设施检测与评估技术服务项目的，甲方有权解除检测与评估合同。</w:t>
      </w:r>
    </w:p>
    <w:p w14:paraId="03EA4C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2、乙方未能依照技术标准和执业准则，导致检测与评估质量问题的，承担相应的法律责任。</w:t>
      </w:r>
    </w:p>
    <w:p w14:paraId="1138B4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3、任何一方违反约定或法律规定解除合同，应向对方支付本合同价款</w:t>
      </w:r>
      <w:r>
        <w:rPr>
          <w:rFonts w:hint="eastAsia"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lang w:val="en-US" w:eastAsia="zh-CN"/>
        </w:rPr>
        <w:t>%的违约金。</w:t>
      </w:r>
    </w:p>
    <w:p w14:paraId="44EA66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lang w:val="en-US" w:eastAsia="zh-CN"/>
        </w:rPr>
      </w:pPr>
      <w:r>
        <w:rPr>
          <w:rFonts w:hint="eastAsia" w:ascii="仿宋" w:hAnsi="仿宋" w:eastAsia="仿宋" w:cs="仿宋"/>
          <w:b w:val="0"/>
          <w:bCs w:val="0"/>
          <w:sz w:val="24"/>
          <w:szCs w:val="24"/>
          <w:highlight w:val="none"/>
          <w:u w:val="none"/>
          <w:lang w:val="en-US" w:eastAsia="zh-CN"/>
        </w:rPr>
        <w:t>4、因乙方检测报告质量存在缺陷导致甲方发生相应的损失，由乙方承担。</w:t>
      </w:r>
    </w:p>
    <w:p w14:paraId="0BCF50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5925B3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00"/>
          <w:kern w:val="0"/>
          <w:sz w:val="28"/>
          <w:szCs w:val="28"/>
          <w:highlight w:val="none"/>
          <w:u w:val="none"/>
          <w:lang w:val="en-US" w:eastAsia="zh-CN"/>
        </w:rPr>
      </w:pPr>
      <w:bookmarkStart w:id="26" w:name="_GoBack"/>
      <w:bookmarkEnd w:id="26"/>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w:t>
      </w:r>
      <w:r>
        <w:rPr>
          <w:rFonts w:hint="eastAsia" w:asciiTheme="minorEastAsia" w:hAnsiTheme="minorEastAsia" w:eastAsiaTheme="minorEastAsia" w:cstheme="minorEastAsia"/>
          <w:b/>
          <w:bCs/>
          <w:color w:val="0000FF"/>
          <w:sz w:val="24"/>
          <w:szCs w:val="24"/>
          <w:lang w:val="en-US" w:eastAsia="zh-CN"/>
        </w:rPr>
        <w:t>或未提供响应偏离表</w:t>
      </w:r>
      <w:r>
        <w:rPr>
          <w:rFonts w:hint="eastAsia" w:asciiTheme="minorEastAsia" w:hAnsiTheme="minorEastAsia" w:eastAsiaTheme="minorEastAsia" w:cstheme="minorEastAsia"/>
          <w:b/>
          <w:bCs/>
          <w:color w:val="0000FF"/>
          <w:sz w:val="24"/>
          <w:szCs w:val="24"/>
          <w:lang w:val="zh-CN"/>
        </w:rPr>
        <w:t>将判定为无效</w:t>
      </w:r>
      <w:r>
        <w:rPr>
          <w:rFonts w:hint="eastAsia" w:asciiTheme="minorEastAsia" w:hAnsiTheme="minorEastAsia" w:eastAsiaTheme="minorEastAsia" w:cstheme="minorEastAsia"/>
          <w:b/>
          <w:bCs/>
          <w:color w:val="0000FF"/>
          <w:sz w:val="24"/>
          <w:szCs w:val="24"/>
          <w:lang w:val="en-US" w:eastAsia="zh-CN"/>
        </w:rPr>
        <w:t>投标。</w:t>
      </w:r>
    </w:p>
    <w:p w14:paraId="4708700C">
      <w:pPr>
        <w:numPr>
          <w:ilvl w:val="0"/>
          <w:numId w:val="0"/>
        </w:numPr>
        <w:spacing w:line="360" w:lineRule="exact"/>
        <w:ind w:firstLine="3373" w:firstLineChars="1200"/>
        <w:rPr>
          <w:rFonts w:hint="eastAsia" w:asciiTheme="minorEastAsia" w:hAnsiTheme="minorEastAsia" w:eastAsiaTheme="minorEastAsia" w:cstheme="minorEastAsia"/>
          <w:b/>
          <w:bCs/>
          <w:color w:val="000000"/>
          <w:kern w:val="0"/>
          <w:sz w:val="28"/>
          <w:szCs w:val="28"/>
          <w:highlight w:val="none"/>
          <w:u w:val="none"/>
          <w:lang w:val="en-US" w:eastAsia="zh-CN"/>
        </w:rPr>
      </w:pPr>
    </w:p>
    <w:p w14:paraId="41C6C9F2">
      <w:pPr>
        <w:numPr>
          <w:ilvl w:val="0"/>
          <w:numId w:val="0"/>
        </w:numPr>
        <w:spacing w:line="360" w:lineRule="exact"/>
        <w:ind w:firstLine="3373" w:firstLineChars="1200"/>
        <w:rPr>
          <w:rFonts w:hint="eastAsia" w:asciiTheme="minorEastAsia" w:hAnsiTheme="minorEastAsia" w:eastAsiaTheme="minorEastAsia" w:cstheme="minorEastAsia"/>
          <w:b/>
          <w:bCs/>
          <w:color w:val="000000"/>
          <w:kern w:val="0"/>
          <w:sz w:val="28"/>
          <w:szCs w:val="28"/>
          <w:highlight w:val="none"/>
          <w:u w:val="none"/>
          <w:lang w:val="en-US" w:eastAsia="zh-CN"/>
        </w:rPr>
      </w:pPr>
    </w:p>
    <w:p w14:paraId="3112CB08">
      <w:pPr>
        <w:numPr>
          <w:ilvl w:val="0"/>
          <w:numId w:val="0"/>
        </w:numPr>
        <w:spacing w:line="360" w:lineRule="exact"/>
        <w:ind w:firstLine="3373" w:firstLineChars="1200"/>
        <w:rPr>
          <w:rFonts w:hint="eastAsia" w:asciiTheme="minorEastAsia" w:hAnsiTheme="minorEastAsia" w:eastAsiaTheme="minorEastAsia" w:cstheme="minorEastAsia"/>
          <w:b/>
          <w:bCs/>
          <w:color w:val="000000"/>
          <w:kern w:val="0"/>
          <w:sz w:val="28"/>
          <w:szCs w:val="28"/>
          <w:highlight w:val="none"/>
          <w:u w:val="none"/>
          <w:lang w:val="en-US" w:eastAsia="zh-CN"/>
        </w:rPr>
      </w:pPr>
    </w:p>
    <w:p w14:paraId="6A042749">
      <w:pPr>
        <w:numPr>
          <w:ilvl w:val="0"/>
          <w:numId w:val="0"/>
        </w:numPr>
        <w:spacing w:line="360" w:lineRule="exact"/>
        <w:ind w:firstLine="3373" w:firstLineChars="1200"/>
        <w:rPr>
          <w:rFonts w:hint="eastAsia" w:asciiTheme="minorEastAsia" w:hAnsiTheme="minorEastAsia" w:eastAsiaTheme="minorEastAsia" w:cstheme="minorEastAsia"/>
          <w:b/>
          <w:bCs/>
          <w:color w:val="000000"/>
          <w:kern w:val="0"/>
          <w:sz w:val="28"/>
          <w:szCs w:val="28"/>
          <w:highlight w:val="none"/>
          <w:u w:val="none"/>
          <w:lang w:val="en-US" w:eastAsia="zh-CN"/>
        </w:rPr>
      </w:pPr>
    </w:p>
    <w:p w14:paraId="5F90360A">
      <w:pPr>
        <w:numPr>
          <w:ilvl w:val="0"/>
          <w:numId w:val="0"/>
        </w:numPr>
        <w:spacing w:line="360" w:lineRule="exact"/>
        <w:ind w:firstLine="3373" w:firstLineChars="12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463" w:tblpY="198"/>
        <w:tblOverlap w:val="never"/>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2967"/>
        <w:gridCol w:w="834"/>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6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4"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r>
              <w:rPr>
                <w:rFonts w:hint="eastAsia" w:ascii="宋体" w:hAnsi="宋体" w:cs="宋体"/>
                <w:color w:val="000000"/>
                <w:sz w:val="24"/>
                <w:szCs w:val="24"/>
                <w:highlight w:val="white"/>
                <w:lang w:eastAsia="zh-CN"/>
              </w:rPr>
              <w:t>（</w:t>
            </w:r>
            <w:r>
              <w:rPr>
                <w:rFonts w:hint="eastAsia" w:ascii="宋体" w:hAnsi="宋体" w:cs="宋体"/>
                <w:color w:val="000000"/>
                <w:sz w:val="24"/>
                <w:szCs w:val="24"/>
                <w:highlight w:val="white"/>
              </w:rPr>
              <w:t>提供法人或者其他组织的营业执照、经营许可证等证明文件</w:t>
            </w:r>
            <w:r>
              <w:rPr>
                <w:rFonts w:hint="eastAsia" w:ascii="宋体" w:hAnsi="宋体" w:cs="宋体"/>
                <w:color w:val="000000"/>
                <w:sz w:val="24"/>
                <w:szCs w:val="24"/>
                <w:highlight w:val="white"/>
                <w:lang w:eastAsia="zh-CN"/>
              </w:rPr>
              <w:t>，</w:t>
            </w:r>
            <w:r>
              <w:rPr>
                <w:rFonts w:hint="eastAsia" w:ascii="宋体" w:hAnsi="宋体" w:cs="宋体"/>
                <w:color w:val="000000"/>
                <w:sz w:val="24"/>
                <w:szCs w:val="24"/>
                <w:highlight w:val="white"/>
                <w:lang w:val="en-US" w:eastAsia="zh-CN"/>
              </w:rPr>
              <w:t>营业执照经营范围应包含“消防安全评估”或“消防设施维保保养检测”的内容）</w:t>
            </w:r>
          </w:p>
        </w:tc>
        <w:tc>
          <w:tcPr>
            <w:tcW w:w="296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3881B86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lang w:val="en-US" w:eastAsia="zh-CN"/>
              </w:rPr>
              <w:t>信用承诺书上必须含二维码，不可以自行打印填写此表，需要到指定网站下载</w:t>
            </w:r>
            <w:r>
              <w:rPr>
                <w:rFonts w:hint="eastAsia" w:ascii="仿宋" w:hAnsi="仿宋" w:eastAsia="仿宋" w:cs="仿宋"/>
                <w:b w:val="0"/>
                <w:bCs w:val="0"/>
                <w:color w:val="000000"/>
                <w:kern w:val="0"/>
                <w:sz w:val="24"/>
                <w:szCs w:val="24"/>
                <w:highlight w:val="none"/>
                <w:u w:val="none"/>
                <w:lang w:eastAsia="zh-CN"/>
              </w:rPr>
              <w:t>）</w:t>
            </w:r>
          </w:p>
        </w:tc>
        <w:tc>
          <w:tcPr>
            <w:tcW w:w="296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6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214DBF8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lang w:val="en-US" w:eastAsia="zh-CN"/>
              </w:rPr>
              <w:t>信用承诺书上必须含二维码，不可以自行打印填写此表，需要到指定网站下载</w:t>
            </w:r>
            <w:r>
              <w:rPr>
                <w:rFonts w:hint="eastAsia" w:ascii="仿宋" w:hAnsi="仿宋" w:eastAsia="仿宋" w:cs="仿宋"/>
                <w:b w:val="0"/>
                <w:bCs w:val="0"/>
                <w:color w:val="000000"/>
                <w:kern w:val="0"/>
                <w:sz w:val="24"/>
                <w:szCs w:val="24"/>
                <w:highlight w:val="none"/>
                <w:u w:val="none"/>
                <w:lang w:eastAsia="zh-CN"/>
              </w:rPr>
              <w:t>）</w:t>
            </w:r>
          </w:p>
        </w:tc>
        <w:tc>
          <w:tcPr>
            <w:tcW w:w="296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6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6034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364" w:type="dxa"/>
            <w:noWrap w:val="0"/>
            <w:vAlign w:val="top"/>
          </w:tcPr>
          <w:p w14:paraId="6F9039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cs="宋体"/>
                <w:color w:val="000000"/>
                <w:sz w:val="24"/>
                <w:szCs w:val="24"/>
                <w:highlight w:val="white"/>
                <w:lang w:val="en-US" w:eastAsia="zh-CN"/>
              </w:rPr>
            </w:pPr>
            <w:r>
              <w:rPr>
                <w:rFonts w:hint="eastAsia" w:ascii="宋体" w:hAnsi="宋体" w:cs="宋体"/>
                <w:color w:val="000000"/>
                <w:sz w:val="24"/>
                <w:szCs w:val="24"/>
                <w:highlight w:val="white"/>
                <w:lang w:val="en-US" w:eastAsia="zh-CN"/>
              </w:rPr>
              <w:t>本项目特定的资质要求：</w:t>
            </w:r>
          </w:p>
          <w:p w14:paraId="76B8C6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color w:val="000000"/>
                <w:sz w:val="24"/>
                <w:szCs w:val="24"/>
                <w:highlight w:val="white"/>
                <w:lang w:val="en-US" w:eastAsia="zh-CN"/>
              </w:rPr>
            </w:pPr>
            <w:r>
              <w:rPr>
                <w:rFonts w:hint="eastAsia" w:ascii="宋体" w:hAnsi="宋体" w:cs="宋体"/>
                <w:color w:val="000000"/>
                <w:sz w:val="24"/>
                <w:szCs w:val="24"/>
                <w:highlight w:val="white"/>
                <w:lang w:val="en-US" w:eastAsia="zh-CN"/>
              </w:rPr>
              <w:t>1、本项目特殊资质要求：在社会消防技术服务网（https://shhxf.119.gov.cn/templet/index_7.jsp）单位类型含“消防安全评估”内容（提供相应截图并加盖公章）</w:t>
            </w:r>
          </w:p>
          <w:p w14:paraId="3D376C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lang w:val="en-US" w:eastAsia="zh-CN"/>
              </w:rPr>
            </w:pPr>
            <w:r>
              <w:rPr>
                <w:rFonts w:hint="eastAsia" w:ascii="宋体" w:hAnsi="宋体" w:cs="宋体"/>
                <w:color w:val="000000"/>
                <w:sz w:val="24"/>
                <w:szCs w:val="24"/>
                <w:highlight w:val="white"/>
                <w:lang w:val="en-US" w:eastAsia="zh-CN"/>
              </w:rPr>
              <w:t>2、提供一份与此项目相关的三级医院业绩。</w:t>
            </w:r>
          </w:p>
        </w:tc>
        <w:tc>
          <w:tcPr>
            <w:tcW w:w="2967" w:type="dxa"/>
            <w:noWrap w:val="0"/>
            <w:vAlign w:val="top"/>
          </w:tcPr>
          <w:p w14:paraId="4F6658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0D67B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31D4B0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9"/>
        <w:tblW w:w="11193"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0"/>
        <w:gridCol w:w="3713"/>
        <w:gridCol w:w="2783"/>
        <w:gridCol w:w="240"/>
        <w:gridCol w:w="1624"/>
        <w:gridCol w:w="1353"/>
      </w:tblGrid>
      <w:tr w14:paraId="3CD10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3"/>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240"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1624" w:type="dxa"/>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c>
          <w:tcPr>
            <w:tcW w:w="1353" w:type="dxa"/>
            <w:tcBorders>
              <w:top w:val="nil"/>
              <w:left w:val="nil"/>
              <w:bottom w:val="single" w:color="auto" w:sz="6" w:space="0"/>
              <w:right w:val="nil"/>
            </w:tcBorders>
            <w:noWrap w:val="0"/>
            <w:vAlign w:val="center"/>
          </w:tcPr>
          <w:p w14:paraId="76FD3F8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7D52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480"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cs="仿宋"/>
                <w:b w:val="0"/>
                <w:bCs w:val="0"/>
                <w:color w:val="000000"/>
                <w:kern w:val="0"/>
                <w:sz w:val="24"/>
                <w:szCs w:val="24"/>
                <w:highlight w:val="none"/>
                <w:u w:val="none"/>
                <w:lang w:val="en-US" w:eastAsia="zh-CN"/>
              </w:rPr>
              <w:t>序号</w:t>
            </w:r>
          </w:p>
        </w:tc>
        <w:tc>
          <w:tcPr>
            <w:tcW w:w="3713" w:type="dxa"/>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3023" w:type="dxa"/>
            <w:gridSpan w:val="2"/>
            <w:tcBorders>
              <w:top w:val="single" w:color="auto" w:sz="6" w:space="0"/>
              <w:left w:val="single" w:color="auto" w:sz="6" w:space="0"/>
              <w:bottom w:val="single" w:color="auto" w:sz="6" w:space="0"/>
              <w:right w:val="single" w:color="auto" w:sz="6" w:space="0"/>
            </w:tcBorders>
            <w:noWrap w:val="0"/>
            <w:vAlign w:val="center"/>
          </w:tcPr>
          <w:p w14:paraId="70929E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面积（㎡）</w:t>
            </w:r>
          </w:p>
        </w:tc>
        <w:tc>
          <w:tcPr>
            <w:tcW w:w="1624"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w:t>
            </w:r>
            <w:r>
              <w:rPr>
                <w:rFonts w:hint="eastAsia" w:cs="仿宋"/>
                <w:b w:val="0"/>
                <w:bCs w:val="0"/>
                <w:color w:val="000000"/>
                <w:kern w:val="0"/>
                <w:sz w:val="24"/>
                <w:szCs w:val="24"/>
                <w:highlight w:val="none"/>
                <w:u w:val="none"/>
                <w:lang w:val="en-US" w:eastAsia="zh-CN"/>
              </w:rPr>
              <w:t>/㎡/年</w:t>
            </w:r>
            <w:r>
              <w:rPr>
                <w:rFonts w:hint="eastAsia" w:ascii="仿宋" w:hAnsi="仿宋" w:eastAsia="仿宋" w:cs="仿宋"/>
                <w:b w:val="0"/>
                <w:bCs w:val="0"/>
                <w:color w:val="000000"/>
                <w:kern w:val="0"/>
                <w:sz w:val="24"/>
                <w:szCs w:val="24"/>
                <w:highlight w:val="none"/>
                <w:u w:val="none"/>
                <w:lang w:val="en-US" w:eastAsia="zh-CN"/>
              </w:rPr>
              <w:t>）</w:t>
            </w:r>
          </w:p>
        </w:tc>
        <w:tc>
          <w:tcPr>
            <w:tcW w:w="1353" w:type="dxa"/>
            <w:tcBorders>
              <w:top w:val="single" w:color="auto" w:sz="6" w:space="0"/>
              <w:left w:val="single" w:color="auto" w:sz="6" w:space="0"/>
              <w:bottom w:val="single" w:color="auto" w:sz="6" w:space="0"/>
              <w:right w:val="single" w:color="auto" w:sz="6" w:space="0"/>
            </w:tcBorders>
            <w:noWrap w:val="0"/>
            <w:vAlign w:val="center"/>
          </w:tcPr>
          <w:p w14:paraId="0FA7AF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总价（元/年）</w:t>
            </w:r>
          </w:p>
        </w:tc>
      </w:tr>
      <w:tr w14:paraId="6E098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1480"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1</w:t>
            </w:r>
          </w:p>
        </w:tc>
        <w:tc>
          <w:tcPr>
            <w:tcW w:w="3713" w:type="dxa"/>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zh-CN" w:eastAsia="zh-CN"/>
              </w:rPr>
              <w:t>消防安全</w:t>
            </w:r>
            <w:r>
              <w:rPr>
                <w:rFonts w:hint="eastAsia" w:ascii="仿宋" w:hAnsi="仿宋" w:eastAsia="仿宋" w:cs="仿宋"/>
                <w:b w:val="0"/>
                <w:bCs w:val="0"/>
                <w:color w:val="000000"/>
                <w:kern w:val="0"/>
                <w:sz w:val="24"/>
                <w:szCs w:val="24"/>
                <w:highlight w:val="none"/>
                <w:u w:val="none"/>
                <w:lang w:val="en-US" w:eastAsia="zh-CN"/>
              </w:rPr>
              <w:t>检测、</w:t>
            </w:r>
            <w:r>
              <w:rPr>
                <w:rFonts w:hint="eastAsia" w:ascii="仿宋" w:hAnsi="仿宋" w:eastAsia="仿宋" w:cs="仿宋"/>
                <w:b w:val="0"/>
                <w:bCs w:val="0"/>
                <w:color w:val="000000"/>
                <w:kern w:val="0"/>
                <w:sz w:val="24"/>
                <w:szCs w:val="24"/>
                <w:highlight w:val="none"/>
                <w:u w:val="none"/>
                <w:lang w:val="zh-CN" w:eastAsia="zh-CN"/>
              </w:rPr>
              <w:t>评估报告出具服务</w:t>
            </w:r>
          </w:p>
        </w:tc>
        <w:tc>
          <w:tcPr>
            <w:tcW w:w="3023" w:type="dxa"/>
            <w:gridSpan w:val="2"/>
            <w:tcBorders>
              <w:top w:val="single" w:color="auto" w:sz="6" w:space="0"/>
              <w:left w:val="single" w:color="auto" w:sz="6" w:space="0"/>
              <w:bottom w:val="single" w:color="auto" w:sz="6" w:space="0"/>
              <w:right w:val="single" w:color="auto" w:sz="6" w:space="0"/>
            </w:tcBorders>
            <w:noWrap w:val="0"/>
            <w:vAlign w:val="center"/>
          </w:tcPr>
          <w:p w14:paraId="302132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15.5万</w:t>
            </w:r>
          </w:p>
        </w:tc>
        <w:tc>
          <w:tcPr>
            <w:tcW w:w="1624" w:type="dxa"/>
            <w:tcBorders>
              <w:top w:val="single" w:color="auto" w:sz="6" w:space="0"/>
              <w:left w:val="single" w:color="auto" w:sz="6" w:space="0"/>
              <w:bottom w:val="single" w:color="auto" w:sz="6" w:space="0"/>
              <w:right w:val="single" w:color="auto" w:sz="6" w:space="0"/>
            </w:tcBorders>
            <w:noWrap w:val="0"/>
            <w:vAlign w:val="center"/>
          </w:tcPr>
          <w:p w14:paraId="718388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1353" w:type="dxa"/>
            <w:tcBorders>
              <w:top w:val="single" w:color="auto" w:sz="6" w:space="0"/>
              <w:left w:val="single" w:color="auto" w:sz="6" w:space="0"/>
              <w:bottom w:val="single" w:color="auto" w:sz="6" w:space="0"/>
              <w:right w:val="single" w:color="auto" w:sz="6" w:space="0"/>
            </w:tcBorders>
            <w:noWrap w:val="0"/>
            <w:vAlign w:val="center"/>
          </w:tcPr>
          <w:p w14:paraId="642B04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1B4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14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9713" w:type="dxa"/>
            <w:gridSpan w:val="5"/>
            <w:tcBorders>
              <w:top w:val="single" w:color="auto" w:sz="6" w:space="0"/>
              <w:left w:val="single" w:color="auto" w:sz="6" w:space="0"/>
              <w:bottom w:val="single" w:color="auto" w:sz="6" w:space="0"/>
              <w:right w:val="single" w:color="auto" w:sz="6" w:space="0"/>
            </w:tcBorders>
            <w:shd w:val="clear" w:color="auto" w:fill="auto"/>
            <w:noWrap w:val="0"/>
            <w:vAlign w:val="center"/>
          </w:tcPr>
          <w:p w14:paraId="2716E8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一招三年，合同一年一签</w:t>
            </w:r>
          </w:p>
        </w:tc>
      </w:tr>
      <w:tr w14:paraId="270CB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1480"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9713" w:type="dxa"/>
            <w:gridSpan w:val="5"/>
            <w:tcBorders>
              <w:top w:val="single" w:color="auto" w:sz="6" w:space="0"/>
              <w:left w:val="single" w:color="auto" w:sz="6" w:space="0"/>
              <w:bottom w:val="single" w:color="auto" w:sz="6" w:space="0"/>
              <w:right w:val="single" w:color="auto" w:sz="6" w:space="0"/>
            </w:tcBorders>
            <w:noWrap w:val="0"/>
            <w:vAlign w:val="center"/>
          </w:tcPr>
          <w:p w14:paraId="6E3CAD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3514FD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zh-CN"/>
        </w:rPr>
        <w:t xml:space="preserve">                </w:t>
      </w:r>
    </w:p>
    <w:p w14:paraId="5DDC29A5">
      <w:pPr>
        <w:spacing w:line="400" w:lineRule="exact"/>
        <w:ind w:left="0" w:leftChars="0" w:firstLine="0" w:firstLineChars="0"/>
        <w:rPr>
          <w:rFonts w:hint="eastAsia" w:ascii="仿宋" w:hAnsi="仿宋" w:eastAsia="仿宋" w:cs="仿宋"/>
          <w:b/>
          <w:bCs/>
          <w:sz w:val="24"/>
          <w:szCs w:val="24"/>
          <w:u w:val="none"/>
        </w:rPr>
      </w:pPr>
    </w:p>
    <w:p w14:paraId="2098701B">
      <w:pPr>
        <w:spacing w:line="400" w:lineRule="exact"/>
        <w:ind w:left="0" w:leftChars="0" w:firstLine="0" w:firstLineChars="0"/>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商务</w:t>
      </w:r>
      <w:r>
        <w:rPr>
          <w:rFonts w:hint="eastAsia" w:ascii="仿宋" w:hAnsi="仿宋" w:eastAsia="仿宋" w:cs="仿宋"/>
          <w:b/>
          <w:bCs/>
          <w:sz w:val="24"/>
          <w:szCs w:val="24"/>
        </w:rPr>
        <w:t>条款</w:t>
      </w:r>
      <w:r>
        <w:rPr>
          <w:rFonts w:hint="eastAsia" w:ascii="仿宋" w:hAnsi="仿宋" w:eastAsia="仿宋" w:cs="仿宋"/>
          <w:b/>
          <w:bCs/>
          <w:sz w:val="24"/>
          <w:szCs w:val="24"/>
          <w:lang w:val="zh-CN"/>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360" w:firstLineChars="14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688DED6">
      <w:pPr>
        <w:spacing w:line="400" w:lineRule="exact"/>
        <w:ind w:left="0" w:leftChars="0" w:firstLine="0" w:firstLineChars="0"/>
        <w:rPr>
          <w:rFonts w:hint="eastAsia" w:ascii="仿宋" w:hAnsi="仿宋" w:eastAsia="仿宋" w:cs="仿宋"/>
          <w:b/>
          <w:bCs/>
          <w:sz w:val="24"/>
          <w:szCs w:val="24"/>
          <w:u w:val="none"/>
          <w:lang w:val="zh-CN"/>
        </w:rPr>
      </w:pP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40BE35C1">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2208"/>
        <w:gridCol w:w="2458"/>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2208"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458"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2208"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458"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2208"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458"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2208"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458"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0" w:firstLineChars="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7A2AB53"/>
    <w:multiLevelType w:val="singleLevel"/>
    <w:tmpl w:val="17A2AB53"/>
    <w:lvl w:ilvl="0" w:tentative="0">
      <w:start w:val="1"/>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4"/>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8A037A"/>
    <w:rsid w:val="00955E28"/>
    <w:rsid w:val="009877E0"/>
    <w:rsid w:val="00A81A52"/>
    <w:rsid w:val="00AE403B"/>
    <w:rsid w:val="00B90BFD"/>
    <w:rsid w:val="00DA1880"/>
    <w:rsid w:val="00DF2B96"/>
    <w:rsid w:val="00ED3F0C"/>
    <w:rsid w:val="00FE1942"/>
    <w:rsid w:val="016A6FD7"/>
    <w:rsid w:val="01764026"/>
    <w:rsid w:val="020A533B"/>
    <w:rsid w:val="02AF1BCE"/>
    <w:rsid w:val="02BA37B0"/>
    <w:rsid w:val="02E64D83"/>
    <w:rsid w:val="02F41CAD"/>
    <w:rsid w:val="036C3D74"/>
    <w:rsid w:val="037F2861"/>
    <w:rsid w:val="03CA0201"/>
    <w:rsid w:val="03EF1171"/>
    <w:rsid w:val="04372DA7"/>
    <w:rsid w:val="04A3117E"/>
    <w:rsid w:val="054170C6"/>
    <w:rsid w:val="05720596"/>
    <w:rsid w:val="057A17B3"/>
    <w:rsid w:val="059E1945"/>
    <w:rsid w:val="05DE1D42"/>
    <w:rsid w:val="05F01509"/>
    <w:rsid w:val="066D6EBE"/>
    <w:rsid w:val="07107C1F"/>
    <w:rsid w:val="0727186C"/>
    <w:rsid w:val="074B78AB"/>
    <w:rsid w:val="082A2CAB"/>
    <w:rsid w:val="087F4E85"/>
    <w:rsid w:val="088968DD"/>
    <w:rsid w:val="08C3481A"/>
    <w:rsid w:val="09594CC4"/>
    <w:rsid w:val="0A297F16"/>
    <w:rsid w:val="0A5C00B8"/>
    <w:rsid w:val="0A717628"/>
    <w:rsid w:val="0A786C09"/>
    <w:rsid w:val="0AA277E2"/>
    <w:rsid w:val="0AB37C41"/>
    <w:rsid w:val="0B4E1717"/>
    <w:rsid w:val="0B753148"/>
    <w:rsid w:val="0BC8771C"/>
    <w:rsid w:val="0C351327"/>
    <w:rsid w:val="0C666EEA"/>
    <w:rsid w:val="0C6A2581"/>
    <w:rsid w:val="0CCF6888"/>
    <w:rsid w:val="0CDB51C5"/>
    <w:rsid w:val="0D0C53E6"/>
    <w:rsid w:val="0D10302B"/>
    <w:rsid w:val="0D7A1CDB"/>
    <w:rsid w:val="0DCD726B"/>
    <w:rsid w:val="0E5C414B"/>
    <w:rsid w:val="0F0F7410"/>
    <w:rsid w:val="0F7369D5"/>
    <w:rsid w:val="100F6825"/>
    <w:rsid w:val="101E5B5C"/>
    <w:rsid w:val="105E23FD"/>
    <w:rsid w:val="10C1332E"/>
    <w:rsid w:val="10C755B3"/>
    <w:rsid w:val="11140D0D"/>
    <w:rsid w:val="113D0264"/>
    <w:rsid w:val="11845E93"/>
    <w:rsid w:val="11A55E09"/>
    <w:rsid w:val="125F420A"/>
    <w:rsid w:val="12D90460"/>
    <w:rsid w:val="13196AAF"/>
    <w:rsid w:val="13272F7A"/>
    <w:rsid w:val="13444169"/>
    <w:rsid w:val="1510089B"/>
    <w:rsid w:val="15761F97"/>
    <w:rsid w:val="15F9365C"/>
    <w:rsid w:val="162F7A3C"/>
    <w:rsid w:val="166511CC"/>
    <w:rsid w:val="16806C8A"/>
    <w:rsid w:val="168705BE"/>
    <w:rsid w:val="16872A35"/>
    <w:rsid w:val="16FB6BF7"/>
    <w:rsid w:val="172E012D"/>
    <w:rsid w:val="17547981"/>
    <w:rsid w:val="17A80770"/>
    <w:rsid w:val="17E21B65"/>
    <w:rsid w:val="1816180F"/>
    <w:rsid w:val="18445357"/>
    <w:rsid w:val="18982224"/>
    <w:rsid w:val="18B90B18"/>
    <w:rsid w:val="18FA4C14"/>
    <w:rsid w:val="197665C1"/>
    <w:rsid w:val="199D21E8"/>
    <w:rsid w:val="19C23065"/>
    <w:rsid w:val="1A2226ED"/>
    <w:rsid w:val="1A6745A4"/>
    <w:rsid w:val="1A7016AA"/>
    <w:rsid w:val="1A911621"/>
    <w:rsid w:val="1B972C67"/>
    <w:rsid w:val="1BDD44B0"/>
    <w:rsid w:val="1C2529FF"/>
    <w:rsid w:val="1D4524C0"/>
    <w:rsid w:val="1D791FD7"/>
    <w:rsid w:val="1DC835AB"/>
    <w:rsid w:val="1E317B44"/>
    <w:rsid w:val="1E566E09"/>
    <w:rsid w:val="1E786D7F"/>
    <w:rsid w:val="1EC024D4"/>
    <w:rsid w:val="1EC56C27"/>
    <w:rsid w:val="1F100D66"/>
    <w:rsid w:val="1F212F73"/>
    <w:rsid w:val="1F2B3EFC"/>
    <w:rsid w:val="1F4629DA"/>
    <w:rsid w:val="1F8E1CF8"/>
    <w:rsid w:val="1FFB7C68"/>
    <w:rsid w:val="21035955"/>
    <w:rsid w:val="215A276C"/>
    <w:rsid w:val="22121299"/>
    <w:rsid w:val="221851E6"/>
    <w:rsid w:val="224A458F"/>
    <w:rsid w:val="225C2514"/>
    <w:rsid w:val="22723902"/>
    <w:rsid w:val="23190119"/>
    <w:rsid w:val="23201F60"/>
    <w:rsid w:val="232C1E94"/>
    <w:rsid w:val="23710410"/>
    <w:rsid w:val="23C177B6"/>
    <w:rsid w:val="23F9105D"/>
    <w:rsid w:val="24681644"/>
    <w:rsid w:val="25306EE2"/>
    <w:rsid w:val="25A74339"/>
    <w:rsid w:val="25D32AED"/>
    <w:rsid w:val="25E42F4C"/>
    <w:rsid w:val="263055F8"/>
    <w:rsid w:val="266F3771"/>
    <w:rsid w:val="26A1499A"/>
    <w:rsid w:val="26AD333E"/>
    <w:rsid w:val="26D33E98"/>
    <w:rsid w:val="26F43327"/>
    <w:rsid w:val="274A419B"/>
    <w:rsid w:val="275B723E"/>
    <w:rsid w:val="278F4358"/>
    <w:rsid w:val="27AC1913"/>
    <w:rsid w:val="27AF0CE2"/>
    <w:rsid w:val="27BB1274"/>
    <w:rsid w:val="281C077C"/>
    <w:rsid w:val="282F3F83"/>
    <w:rsid w:val="288829C2"/>
    <w:rsid w:val="28904894"/>
    <w:rsid w:val="289C7F3C"/>
    <w:rsid w:val="28C8126C"/>
    <w:rsid w:val="28CB556B"/>
    <w:rsid w:val="29220EF6"/>
    <w:rsid w:val="2943275D"/>
    <w:rsid w:val="2987256D"/>
    <w:rsid w:val="2A1C4492"/>
    <w:rsid w:val="2A4E6BE6"/>
    <w:rsid w:val="2AD01014"/>
    <w:rsid w:val="2AD74E2E"/>
    <w:rsid w:val="2B710DDE"/>
    <w:rsid w:val="2B8A65D1"/>
    <w:rsid w:val="2BD96984"/>
    <w:rsid w:val="2C1B6F9C"/>
    <w:rsid w:val="2C4F66C1"/>
    <w:rsid w:val="2C6C0DBE"/>
    <w:rsid w:val="2C8132A3"/>
    <w:rsid w:val="2C917248"/>
    <w:rsid w:val="2CD72920"/>
    <w:rsid w:val="2CE37ABA"/>
    <w:rsid w:val="2E1702C2"/>
    <w:rsid w:val="2E894691"/>
    <w:rsid w:val="2E9D638E"/>
    <w:rsid w:val="2FAB0A48"/>
    <w:rsid w:val="2FF56385"/>
    <w:rsid w:val="2FFE2E5D"/>
    <w:rsid w:val="30817D16"/>
    <w:rsid w:val="30F45504"/>
    <w:rsid w:val="310550F2"/>
    <w:rsid w:val="312F39C2"/>
    <w:rsid w:val="31307046"/>
    <w:rsid w:val="322169DF"/>
    <w:rsid w:val="32591000"/>
    <w:rsid w:val="325925CC"/>
    <w:rsid w:val="32D05F35"/>
    <w:rsid w:val="32EC2DE5"/>
    <w:rsid w:val="332055EB"/>
    <w:rsid w:val="3361798A"/>
    <w:rsid w:val="337C35E0"/>
    <w:rsid w:val="338D69D1"/>
    <w:rsid w:val="33C341A1"/>
    <w:rsid w:val="33FB23D1"/>
    <w:rsid w:val="34140EA1"/>
    <w:rsid w:val="34272982"/>
    <w:rsid w:val="343313EF"/>
    <w:rsid w:val="349B3370"/>
    <w:rsid w:val="34E30FF8"/>
    <w:rsid w:val="3598548C"/>
    <w:rsid w:val="362E19ED"/>
    <w:rsid w:val="3651018A"/>
    <w:rsid w:val="36606408"/>
    <w:rsid w:val="36A04C6E"/>
    <w:rsid w:val="36E65EE8"/>
    <w:rsid w:val="36EF52AD"/>
    <w:rsid w:val="38477A29"/>
    <w:rsid w:val="38AF2F46"/>
    <w:rsid w:val="38C22C79"/>
    <w:rsid w:val="38C5276A"/>
    <w:rsid w:val="38E2045E"/>
    <w:rsid w:val="38F92413"/>
    <w:rsid w:val="39B849AC"/>
    <w:rsid w:val="39C46DDD"/>
    <w:rsid w:val="39D37B62"/>
    <w:rsid w:val="3A0C6125"/>
    <w:rsid w:val="3A414072"/>
    <w:rsid w:val="3A4A73CA"/>
    <w:rsid w:val="3A6164C2"/>
    <w:rsid w:val="3AD4138A"/>
    <w:rsid w:val="3AF15A98"/>
    <w:rsid w:val="3B335554"/>
    <w:rsid w:val="3B522D42"/>
    <w:rsid w:val="3B7A3CDF"/>
    <w:rsid w:val="3BD258C9"/>
    <w:rsid w:val="3C1341E6"/>
    <w:rsid w:val="3D2E7F41"/>
    <w:rsid w:val="3D581DFE"/>
    <w:rsid w:val="3D5F13DF"/>
    <w:rsid w:val="3E98692E"/>
    <w:rsid w:val="3F2D72BA"/>
    <w:rsid w:val="3F8C69B3"/>
    <w:rsid w:val="3FC01EDD"/>
    <w:rsid w:val="40183AC7"/>
    <w:rsid w:val="401B7113"/>
    <w:rsid w:val="403F29F9"/>
    <w:rsid w:val="4045536F"/>
    <w:rsid w:val="406B009A"/>
    <w:rsid w:val="406B1E48"/>
    <w:rsid w:val="414F3518"/>
    <w:rsid w:val="41790595"/>
    <w:rsid w:val="41D35EF7"/>
    <w:rsid w:val="4226071D"/>
    <w:rsid w:val="424E09CC"/>
    <w:rsid w:val="42804718"/>
    <w:rsid w:val="4287437F"/>
    <w:rsid w:val="42DB7BE8"/>
    <w:rsid w:val="431B5DA8"/>
    <w:rsid w:val="439873F8"/>
    <w:rsid w:val="43A23DD3"/>
    <w:rsid w:val="43B15A7D"/>
    <w:rsid w:val="43C317DE"/>
    <w:rsid w:val="43EA520C"/>
    <w:rsid w:val="44986F84"/>
    <w:rsid w:val="44F34016"/>
    <w:rsid w:val="45343151"/>
    <w:rsid w:val="45F811DF"/>
    <w:rsid w:val="4627526E"/>
    <w:rsid w:val="46404CE5"/>
    <w:rsid w:val="47A345BE"/>
    <w:rsid w:val="48665371"/>
    <w:rsid w:val="48AE53DE"/>
    <w:rsid w:val="48B3438D"/>
    <w:rsid w:val="48C60564"/>
    <w:rsid w:val="48D80297"/>
    <w:rsid w:val="49675177"/>
    <w:rsid w:val="498126DD"/>
    <w:rsid w:val="49C007A9"/>
    <w:rsid w:val="49C5228A"/>
    <w:rsid w:val="49C82D31"/>
    <w:rsid w:val="49CA5E32"/>
    <w:rsid w:val="4A1A5F48"/>
    <w:rsid w:val="4A8C758B"/>
    <w:rsid w:val="4A9311B5"/>
    <w:rsid w:val="4AAF1D7B"/>
    <w:rsid w:val="4AE5697A"/>
    <w:rsid w:val="4AF6122F"/>
    <w:rsid w:val="4B2058B1"/>
    <w:rsid w:val="4B4A3121"/>
    <w:rsid w:val="4B8054E5"/>
    <w:rsid w:val="4BBC5C4E"/>
    <w:rsid w:val="4CCF0BED"/>
    <w:rsid w:val="4CD10909"/>
    <w:rsid w:val="4CDD30BE"/>
    <w:rsid w:val="4CFA195C"/>
    <w:rsid w:val="4D413526"/>
    <w:rsid w:val="4DED6593"/>
    <w:rsid w:val="4E5C54C6"/>
    <w:rsid w:val="4EC05A55"/>
    <w:rsid w:val="4EDF6EFF"/>
    <w:rsid w:val="4F251D5C"/>
    <w:rsid w:val="4F4641AC"/>
    <w:rsid w:val="4FAE58AE"/>
    <w:rsid w:val="4FF97471"/>
    <w:rsid w:val="50120532"/>
    <w:rsid w:val="506063B0"/>
    <w:rsid w:val="50C3182D"/>
    <w:rsid w:val="50C939BF"/>
    <w:rsid w:val="51644DBE"/>
    <w:rsid w:val="51874BE1"/>
    <w:rsid w:val="518A5FCF"/>
    <w:rsid w:val="51E41A5B"/>
    <w:rsid w:val="52412A09"/>
    <w:rsid w:val="525F5585"/>
    <w:rsid w:val="54EC75A4"/>
    <w:rsid w:val="55322ADD"/>
    <w:rsid w:val="55EC5382"/>
    <w:rsid w:val="567C0974"/>
    <w:rsid w:val="571B5F1F"/>
    <w:rsid w:val="572C012C"/>
    <w:rsid w:val="575925A3"/>
    <w:rsid w:val="57623B4D"/>
    <w:rsid w:val="577613A7"/>
    <w:rsid w:val="57923D07"/>
    <w:rsid w:val="584B45E2"/>
    <w:rsid w:val="5875340D"/>
    <w:rsid w:val="591438A3"/>
    <w:rsid w:val="597B202F"/>
    <w:rsid w:val="59C53F20"/>
    <w:rsid w:val="59CA73F5"/>
    <w:rsid w:val="5A054C64"/>
    <w:rsid w:val="5A9456E4"/>
    <w:rsid w:val="5AB04BD0"/>
    <w:rsid w:val="5AB50438"/>
    <w:rsid w:val="5AE34FA5"/>
    <w:rsid w:val="5B5072E3"/>
    <w:rsid w:val="5B6C1A49"/>
    <w:rsid w:val="5BD85DD7"/>
    <w:rsid w:val="5C135683"/>
    <w:rsid w:val="5C314C9D"/>
    <w:rsid w:val="5C9F314E"/>
    <w:rsid w:val="5D641CA2"/>
    <w:rsid w:val="5D8D11F8"/>
    <w:rsid w:val="5DDD2297"/>
    <w:rsid w:val="5E882B5D"/>
    <w:rsid w:val="5E9640DD"/>
    <w:rsid w:val="5E993BCD"/>
    <w:rsid w:val="5E9F6BA6"/>
    <w:rsid w:val="5F6E5059"/>
    <w:rsid w:val="5FB177E8"/>
    <w:rsid w:val="60326087"/>
    <w:rsid w:val="603B13E0"/>
    <w:rsid w:val="607B5CEA"/>
    <w:rsid w:val="60AA12A8"/>
    <w:rsid w:val="60EF3EDC"/>
    <w:rsid w:val="6115578D"/>
    <w:rsid w:val="6255021E"/>
    <w:rsid w:val="62620EA5"/>
    <w:rsid w:val="628E1C9B"/>
    <w:rsid w:val="62BF00A6"/>
    <w:rsid w:val="62E573E1"/>
    <w:rsid w:val="64B75ABF"/>
    <w:rsid w:val="65984BDE"/>
    <w:rsid w:val="65A716C6"/>
    <w:rsid w:val="65B564B2"/>
    <w:rsid w:val="660D477E"/>
    <w:rsid w:val="66140709"/>
    <w:rsid w:val="66A355E9"/>
    <w:rsid w:val="66DA2A9C"/>
    <w:rsid w:val="66E44404"/>
    <w:rsid w:val="670E33AA"/>
    <w:rsid w:val="68113637"/>
    <w:rsid w:val="68286D07"/>
    <w:rsid w:val="683A01CF"/>
    <w:rsid w:val="68686AEA"/>
    <w:rsid w:val="68CD0F87"/>
    <w:rsid w:val="68D53E01"/>
    <w:rsid w:val="694C2C2B"/>
    <w:rsid w:val="694E3F32"/>
    <w:rsid w:val="69747710"/>
    <w:rsid w:val="69E77EE2"/>
    <w:rsid w:val="69F43A9A"/>
    <w:rsid w:val="6A04258F"/>
    <w:rsid w:val="6A266C5C"/>
    <w:rsid w:val="6AA87C08"/>
    <w:rsid w:val="6B3D5CD6"/>
    <w:rsid w:val="6BEF307E"/>
    <w:rsid w:val="6BF16DF6"/>
    <w:rsid w:val="6C0905E4"/>
    <w:rsid w:val="6D1E383F"/>
    <w:rsid w:val="6D21334F"/>
    <w:rsid w:val="6DB868D5"/>
    <w:rsid w:val="6DD95D94"/>
    <w:rsid w:val="6E290275"/>
    <w:rsid w:val="6E3022FE"/>
    <w:rsid w:val="6E364F94"/>
    <w:rsid w:val="6E3F1A2D"/>
    <w:rsid w:val="6E8626DC"/>
    <w:rsid w:val="6E8C1058"/>
    <w:rsid w:val="6EA53724"/>
    <w:rsid w:val="6EC604A2"/>
    <w:rsid w:val="6F257866"/>
    <w:rsid w:val="6F4162E7"/>
    <w:rsid w:val="6F8C57B4"/>
    <w:rsid w:val="6FD902CD"/>
    <w:rsid w:val="70333E81"/>
    <w:rsid w:val="703B2D36"/>
    <w:rsid w:val="704213F0"/>
    <w:rsid w:val="70E717BC"/>
    <w:rsid w:val="712E15E2"/>
    <w:rsid w:val="71363BAA"/>
    <w:rsid w:val="71575674"/>
    <w:rsid w:val="721455EC"/>
    <w:rsid w:val="722E4900"/>
    <w:rsid w:val="72596368"/>
    <w:rsid w:val="727D3AE3"/>
    <w:rsid w:val="72E176CB"/>
    <w:rsid w:val="734B14E2"/>
    <w:rsid w:val="73C66DBA"/>
    <w:rsid w:val="742A10F7"/>
    <w:rsid w:val="74416441"/>
    <w:rsid w:val="74C21625"/>
    <w:rsid w:val="75232716"/>
    <w:rsid w:val="75267B11"/>
    <w:rsid w:val="753D12FE"/>
    <w:rsid w:val="75436915"/>
    <w:rsid w:val="75486894"/>
    <w:rsid w:val="765121C2"/>
    <w:rsid w:val="76780840"/>
    <w:rsid w:val="76AE24B4"/>
    <w:rsid w:val="76C27D0D"/>
    <w:rsid w:val="76F91987"/>
    <w:rsid w:val="770E6AAE"/>
    <w:rsid w:val="771860A1"/>
    <w:rsid w:val="77265A45"/>
    <w:rsid w:val="772E53A2"/>
    <w:rsid w:val="779C230C"/>
    <w:rsid w:val="77FB40F3"/>
    <w:rsid w:val="782F13D2"/>
    <w:rsid w:val="78581143"/>
    <w:rsid w:val="787645FF"/>
    <w:rsid w:val="790444BF"/>
    <w:rsid w:val="79EB1329"/>
    <w:rsid w:val="7A7E03EF"/>
    <w:rsid w:val="7AB4735A"/>
    <w:rsid w:val="7AEC7106"/>
    <w:rsid w:val="7BE60E47"/>
    <w:rsid w:val="7C400B1D"/>
    <w:rsid w:val="7D472B43"/>
    <w:rsid w:val="7D6E02A7"/>
    <w:rsid w:val="7DDB3462"/>
    <w:rsid w:val="7E2E195D"/>
    <w:rsid w:val="7E5356EF"/>
    <w:rsid w:val="7EC65EC0"/>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4">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2">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5"/>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1950</Words>
  <Characters>2126</Characters>
  <Lines>36</Lines>
  <Paragraphs>10</Paragraphs>
  <TotalTime>6</TotalTime>
  <ScaleCrop>false</ScaleCrop>
  <LinksUpToDate>false</LinksUpToDate>
  <CharactersWithSpaces>2211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2026-05-27T01:38:36Z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C2160B92ED5D4377968BCAB631A77A42_13</vt:lpwstr>
  </property>
  <property fmtid="{D5CDD505-2E9C-101B-9397-08002B2CF9AE}" pid="4" name="KSOTemplateDocerSaveRecord">
    <vt:lpwstr>eyJoZGlkIjoiM2IwNDkxZDYwNzBmMTgyYjg5NjQzNjgwZTU2OTk2ZGEiLCJ1c2VySWQiOiIyODAwNDgzNjEifQ==</vt:lpwstr>
  </property>
</Properties>
</file>